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58C46" w14:textId="6A7E4623" w:rsidR="00965DCA" w:rsidRDefault="00965DCA" w:rsidP="00965DCA">
      <w:pPr>
        <w:jc w:val="center"/>
        <w:rPr>
          <w:rFonts w:ascii="Arial" w:hAnsi="Arial" w:cs="Arial"/>
          <w:b/>
          <w:bCs/>
          <w:sz w:val="24"/>
          <w:szCs w:val="24"/>
        </w:rPr>
      </w:pPr>
      <w:r w:rsidRPr="00965DCA">
        <w:rPr>
          <w:rFonts w:ascii="Arial" w:hAnsi="Arial" w:cs="Arial"/>
          <w:b/>
          <w:bCs/>
          <w:sz w:val="24"/>
          <w:szCs w:val="24"/>
        </w:rPr>
        <w:t>INFORME JURÍDICO Y TÉCNICO DE GESTIÓN PREDIAL Y REGISTRABILIDAD DE BIENES FISCALES TRANSFERIDOS POR EL EXTINTO INSTITUTO DE FOMENTO INDUSTRIAL (IFI) AL MINISTERIO DE MINAS Y ENERGÍA</w:t>
      </w:r>
    </w:p>
    <w:p w14:paraId="3605AE7C" w14:textId="77777777" w:rsidR="00965DCA" w:rsidRPr="00965DCA" w:rsidRDefault="00965DCA" w:rsidP="00965DCA">
      <w:pPr>
        <w:jc w:val="center"/>
        <w:rPr>
          <w:rFonts w:ascii="Arial" w:hAnsi="Arial" w:cs="Arial"/>
          <w:b/>
          <w:bCs/>
          <w:sz w:val="24"/>
          <w:szCs w:val="24"/>
        </w:rPr>
      </w:pPr>
    </w:p>
    <w:p w14:paraId="2585CBAD" w14:textId="77777777" w:rsidR="00965DCA" w:rsidRPr="00965DCA" w:rsidRDefault="00965DCA" w:rsidP="00965DCA">
      <w:pPr>
        <w:pStyle w:val="Prrafodelista"/>
        <w:numPr>
          <w:ilvl w:val="0"/>
          <w:numId w:val="4"/>
        </w:numPr>
        <w:spacing w:after="200" w:line="276" w:lineRule="auto"/>
        <w:jc w:val="both"/>
        <w:rPr>
          <w:b/>
          <w:bCs/>
          <w:sz w:val="24"/>
          <w:szCs w:val="24"/>
        </w:rPr>
      </w:pPr>
      <w:r w:rsidRPr="00965DCA">
        <w:rPr>
          <w:b/>
          <w:bCs/>
          <w:sz w:val="24"/>
          <w:szCs w:val="24"/>
        </w:rPr>
        <w:t>OBJETO</w:t>
      </w:r>
    </w:p>
    <w:p w14:paraId="18E366D2" w14:textId="77777777" w:rsidR="00965DCA" w:rsidRPr="00965DCA" w:rsidRDefault="00965DCA" w:rsidP="00965DCA">
      <w:pPr>
        <w:pStyle w:val="Prrafodelista"/>
        <w:spacing w:after="200" w:line="276" w:lineRule="auto"/>
        <w:ind w:left="1080"/>
        <w:jc w:val="both"/>
        <w:rPr>
          <w:sz w:val="24"/>
          <w:szCs w:val="24"/>
        </w:rPr>
      </w:pPr>
    </w:p>
    <w:p w14:paraId="66EC37E4" w14:textId="77777777" w:rsidR="00965DCA" w:rsidRPr="00965DCA" w:rsidRDefault="00965DCA" w:rsidP="00965DCA">
      <w:pPr>
        <w:jc w:val="both"/>
        <w:rPr>
          <w:rFonts w:ascii="Arial" w:hAnsi="Arial" w:cs="Arial"/>
          <w:sz w:val="24"/>
          <w:szCs w:val="24"/>
        </w:rPr>
      </w:pPr>
      <w:r w:rsidRPr="00965DCA">
        <w:rPr>
          <w:rFonts w:ascii="Arial" w:hAnsi="Arial" w:cs="Arial"/>
          <w:sz w:val="24"/>
          <w:szCs w:val="24"/>
        </w:rPr>
        <w:t>El presente informe técnico-jurídico, catastral y registral tiene por objeto consolidar y resolver de manera definitiva la estrategia de saneamiento inmobiliario y formalización de la titularidad de los treinta (30) predios transferidos en el año 2008 por el extinto Instituto de Fomento Industrial (IFI) en liquidación al Ministerio de Minas y Energía. Este análisis evalúa de forma integral las glosas y objeciones registrales formuladas por la Superintendencia de Notariado y Registro (SNR), confrontándolas con los principios sustantivos del derecho administrativo y civil interno.</w:t>
      </w:r>
    </w:p>
    <w:p w14:paraId="344F4480" w14:textId="77777777" w:rsidR="00965DCA" w:rsidRPr="00965DCA" w:rsidRDefault="00965DCA" w:rsidP="00965DCA">
      <w:pPr>
        <w:jc w:val="both"/>
        <w:rPr>
          <w:rFonts w:ascii="Arial" w:hAnsi="Arial" w:cs="Arial"/>
          <w:sz w:val="24"/>
          <w:szCs w:val="24"/>
        </w:rPr>
      </w:pPr>
      <w:r w:rsidRPr="00965DCA">
        <w:rPr>
          <w:rFonts w:ascii="Arial" w:hAnsi="Arial" w:cs="Arial"/>
          <w:sz w:val="24"/>
          <w:szCs w:val="24"/>
        </w:rPr>
        <w:t>Asimismo, incorpora de manera prioritaria el nuevo contexto operativo y fiscal derivado de la suscripción del Convenio Interadministrativo N° CAR-CONV-2741-2025 entre la Corporación Autónoma Regional de Cundinamarca (CAR) y la Agencia Nacional de Minería (ANM), el cual impone al Ministerio de Minas y Energía la obligación jurídica ineludible de sanear los pasivos fiscales e inmobiliarios de los predios operacionales denominados "Lote Pantano Redondo" y "Lote La Calera - El Cedro", ubicados en la zona de alta importancia ecológica del Páramo de Guerrero.</w:t>
      </w:r>
    </w:p>
    <w:p w14:paraId="15B4D6CD" w14:textId="13039E5F" w:rsidR="00965DCA" w:rsidRPr="00965DCA" w:rsidRDefault="00965DCA" w:rsidP="00965DCA">
      <w:pPr>
        <w:jc w:val="both"/>
        <w:rPr>
          <w:rFonts w:ascii="Arial" w:hAnsi="Arial" w:cs="Arial"/>
          <w:sz w:val="24"/>
          <w:szCs w:val="24"/>
        </w:rPr>
      </w:pPr>
      <w:r w:rsidRPr="00965DCA">
        <w:rPr>
          <w:rFonts w:ascii="Arial" w:hAnsi="Arial" w:cs="Arial"/>
          <w:sz w:val="24"/>
          <w:szCs w:val="24"/>
        </w:rPr>
        <w:t>Finalmente, es necesario precisar este informe no constituye un estudio de títulos orientado a la adquisición de derechos reales, sino un diagnóstico institucional encaminado a lograr la correcta incorporación registral de bienes fiscales cuya transferencia ya fue ordenada por acto administrativo debidamente ejecutoriado.</w:t>
      </w:r>
    </w:p>
    <w:p w14:paraId="55A12886" w14:textId="77777777" w:rsidR="00965DCA" w:rsidRPr="00965DCA" w:rsidRDefault="00965DCA" w:rsidP="00965DCA">
      <w:pPr>
        <w:pStyle w:val="Prrafodelista"/>
        <w:numPr>
          <w:ilvl w:val="0"/>
          <w:numId w:val="4"/>
        </w:numPr>
        <w:spacing w:after="200" w:line="276" w:lineRule="auto"/>
        <w:jc w:val="both"/>
        <w:rPr>
          <w:b/>
          <w:bCs/>
          <w:sz w:val="24"/>
          <w:szCs w:val="24"/>
        </w:rPr>
      </w:pPr>
      <w:r w:rsidRPr="00965DCA">
        <w:rPr>
          <w:b/>
          <w:bCs/>
          <w:sz w:val="24"/>
          <w:szCs w:val="24"/>
        </w:rPr>
        <w:t xml:space="preserve">ANTECEDENTES </w:t>
      </w:r>
    </w:p>
    <w:p w14:paraId="229C8369" w14:textId="77777777" w:rsidR="00965DCA" w:rsidRPr="00965DCA" w:rsidRDefault="00965DCA" w:rsidP="00965DCA">
      <w:pPr>
        <w:pStyle w:val="Prrafodelista"/>
        <w:spacing w:after="200" w:line="276" w:lineRule="auto"/>
        <w:ind w:left="1080"/>
        <w:jc w:val="both"/>
        <w:rPr>
          <w:sz w:val="24"/>
          <w:szCs w:val="24"/>
        </w:rPr>
      </w:pPr>
    </w:p>
    <w:p w14:paraId="696A07BE" w14:textId="77777777" w:rsidR="00965DCA" w:rsidRPr="00965DCA" w:rsidRDefault="00965DCA" w:rsidP="00965DCA">
      <w:pPr>
        <w:pStyle w:val="Prrafodelista"/>
        <w:numPr>
          <w:ilvl w:val="0"/>
          <w:numId w:val="9"/>
        </w:numPr>
        <w:spacing w:after="200" w:line="276" w:lineRule="auto"/>
        <w:jc w:val="both"/>
        <w:rPr>
          <w:sz w:val="24"/>
          <w:szCs w:val="24"/>
        </w:rPr>
      </w:pPr>
      <w:r w:rsidRPr="00965DCA">
        <w:rPr>
          <w:b/>
          <w:bCs/>
          <w:sz w:val="24"/>
          <w:szCs w:val="24"/>
        </w:rPr>
        <w:t>La Delegación de la Infraestructura Salinera:</w:t>
      </w:r>
      <w:r w:rsidRPr="00965DCA">
        <w:rPr>
          <w:sz w:val="24"/>
          <w:szCs w:val="24"/>
        </w:rPr>
        <w:t xml:space="preserve"> Mediante el artículo 4° de la Ley 41 de 1968 y el artículo 6° del Decreto 1205 de 1969, el Gobierno Nacional relevó al Banco de la República y confirió al Instituto de Fomento Industrial (IFI) la concesión exclusiva para la exploración y explotación de las salinas terrestres y marítimas del país, constituyéndose para tal fin la dependencia operativa denominada "Instituto de Fomento Industrial Concesión de Salinas", protocolizada mediante la Escritura Pública No. 1753 del 02 de abril de 1970 de la Notaría Séptima del </w:t>
      </w:r>
      <w:r w:rsidRPr="00965DCA">
        <w:rPr>
          <w:sz w:val="24"/>
          <w:szCs w:val="24"/>
        </w:rPr>
        <w:lastRenderedPageBreak/>
        <w:t>Círculo de Bogotá.</w:t>
      </w:r>
    </w:p>
    <w:p w14:paraId="23B7F17F" w14:textId="77777777" w:rsidR="00965DCA" w:rsidRPr="00965DCA" w:rsidRDefault="00965DCA" w:rsidP="00965DCA">
      <w:pPr>
        <w:pStyle w:val="Prrafodelista"/>
        <w:spacing w:after="200" w:line="276" w:lineRule="auto"/>
        <w:jc w:val="both"/>
        <w:rPr>
          <w:sz w:val="24"/>
          <w:szCs w:val="24"/>
        </w:rPr>
      </w:pPr>
    </w:p>
    <w:p w14:paraId="475A4E0B" w14:textId="69811196" w:rsidR="00965DCA" w:rsidRDefault="00965DCA" w:rsidP="00965DCA">
      <w:pPr>
        <w:pStyle w:val="Prrafodelista"/>
        <w:numPr>
          <w:ilvl w:val="0"/>
          <w:numId w:val="9"/>
        </w:numPr>
        <w:spacing w:after="200" w:line="276" w:lineRule="auto"/>
        <w:jc w:val="both"/>
        <w:rPr>
          <w:sz w:val="24"/>
          <w:szCs w:val="24"/>
        </w:rPr>
      </w:pPr>
      <w:r w:rsidRPr="00965DCA">
        <w:rPr>
          <w:b/>
          <w:bCs/>
          <w:sz w:val="24"/>
          <w:szCs w:val="24"/>
        </w:rPr>
        <w:t>El Mandato de Reasignación Patrimonial:</w:t>
      </w:r>
      <w:r w:rsidRPr="00965DCA">
        <w:rPr>
          <w:sz w:val="24"/>
          <w:szCs w:val="24"/>
        </w:rPr>
        <w:t xml:space="preserve"> Con ocasión del proceso de disolución y liquidación del IFI, el artículo 6° del Decreto 2883 de 2001 ordenó el traslado de todos los activos vinculados a la administración y explotación salinera al Ministerio de Minas y Energía, una vez extinguidas las condiciones contractuales de la administración delegada. En cumplimiento de este mandato, entre agosto y septiembre del año 2008, el liquidador del IFI suscribió las correspondientes actas de entrega y transferencia de activos a favor del Ministerio, las cuales constituyen títulos administrativos traslaticios de dominio plenamente válidos.</w:t>
      </w:r>
    </w:p>
    <w:p w14:paraId="7EBAF901" w14:textId="77777777" w:rsidR="00965DCA" w:rsidRPr="00965DCA" w:rsidRDefault="00965DCA" w:rsidP="00965DCA">
      <w:pPr>
        <w:pStyle w:val="Prrafodelista"/>
        <w:rPr>
          <w:sz w:val="24"/>
          <w:szCs w:val="24"/>
        </w:rPr>
      </w:pPr>
    </w:p>
    <w:p w14:paraId="05613F03" w14:textId="77777777" w:rsidR="00965DCA" w:rsidRPr="00965DCA" w:rsidRDefault="00965DCA" w:rsidP="00965DCA">
      <w:pPr>
        <w:pStyle w:val="Prrafodelista"/>
        <w:spacing w:after="200" w:line="276" w:lineRule="auto"/>
        <w:jc w:val="both"/>
        <w:rPr>
          <w:sz w:val="24"/>
          <w:szCs w:val="24"/>
        </w:rPr>
      </w:pPr>
    </w:p>
    <w:p w14:paraId="6E70C5CC" w14:textId="77777777" w:rsidR="00965DCA" w:rsidRPr="00965DCA" w:rsidRDefault="00965DCA" w:rsidP="00965DCA">
      <w:pPr>
        <w:pStyle w:val="Prrafodelista"/>
        <w:numPr>
          <w:ilvl w:val="0"/>
          <w:numId w:val="4"/>
        </w:numPr>
        <w:spacing w:after="200" w:line="276" w:lineRule="auto"/>
        <w:jc w:val="both"/>
        <w:rPr>
          <w:b/>
          <w:bCs/>
          <w:sz w:val="24"/>
          <w:szCs w:val="24"/>
        </w:rPr>
      </w:pPr>
      <w:r w:rsidRPr="00965DCA">
        <w:rPr>
          <w:b/>
          <w:bCs/>
          <w:sz w:val="24"/>
          <w:szCs w:val="24"/>
        </w:rPr>
        <w:t>EL NUEVO CONTEXTO COYUNTURAL: CONVENIO INTERADMINISTRATIVO CAR-ANM N° 2741-2025</w:t>
      </w:r>
    </w:p>
    <w:p w14:paraId="77612016" w14:textId="77777777" w:rsidR="00965DCA" w:rsidRPr="00965DCA" w:rsidRDefault="00965DCA" w:rsidP="00965DCA">
      <w:pPr>
        <w:pStyle w:val="Prrafodelista"/>
        <w:spacing w:after="200" w:line="276" w:lineRule="auto"/>
        <w:ind w:left="1080"/>
        <w:jc w:val="both"/>
        <w:rPr>
          <w:sz w:val="24"/>
          <w:szCs w:val="24"/>
        </w:rPr>
      </w:pPr>
    </w:p>
    <w:p w14:paraId="6418EB4B"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Ante la criticidad hídrica estructural que afronta la jurisdicción de la CAR —caracterizada por un rendimiento hídrico muy inferior a la media nacional y un Índice de Vulnerabilidad Hídrica (IVH) que sitúa a 18 municipios de la región en niveles de riesgo alto y muy alto—, la CAR y la ANM suscribieron el Convenio Interadministrativo N° CAR-CONV-2741-2025.</w:t>
      </w:r>
    </w:p>
    <w:p w14:paraId="2B078D77"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 xml:space="preserve">Este instrumento consagra la entrega, a título de </w:t>
      </w:r>
      <w:r w:rsidRPr="00965DCA">
        <w:rPr>
          <w:rFonts w:ascii="Arial" w:eastAsia="Arial" w:hAnsi="Arial" w:cs="Arial"/>
          <w:i/>
          <w:iCs/>
          <w:sz w:val="24"/>
          <w:szCs w:val="24"/>
        </w:rPr>
        <w:t>tenencia provisional</w:t>
      </w:r>
      <w:r w:rsidRPr="00965DCA">
        <w:rPr>
          <w:rFonts w:ascii="Arial" w:eastAsia="Arial" w:hAnsi="Arial" w:cs="Arial"/>
          <w:sz w:val="24"/>
          <w:szCs w:val="24"/>
        </w:rPr>
        <w:t xml:space="preserve"> a favor de la CAR, de dos (2) predios de alto valor ecosistémico integrados en el inventario del extinto IFI: el "Lote Pantano Redondo" (FMI 176-34970) y el "Lote La Calera" (FMI 176-10342), localizados estratégicamente en las veredas </w:t>
      </w:r>
      <w:proofErr w:type="spellStart"/>
      <w:r w:rsidRPr="00965DCA">
        <w:rPr>
          <w:rFonts w:ascii="Arial" w:eastAsia="Arial" w:hAnsi="Arial" w:cs="Arial"/>
          <w:sz w:val="24"/>
          <w:szCs w:val="24"/>
        </w:rPr>
        <w:t>Ventalarga</w:t>
      </w:r>
      <w:proofErr w:type="spellEnd"/>
      <w:r w:rsidRPr="00965DCA">
        <w:rPr>
          <w:rFonts w:ascii="Arial" w:eastAsia="Arial" w:hAnsi="Arial" w:cs="Arial"/>
          <w:sz w:val="24"/>
          <w:szCs w:val="24"/>
        </w:rPr>
        <w:t xml:space="preserve"> y San Antonio de Zipaquirá, en la zona de amortiguación del Distrito de Manejo Integrado (DMI) Páramo de Guerrero y la Reserva Forestal Protectora Pantano Redondo.</w:t>
      </w:r>
    </w:p>
    <w:p w14:paraId="5BCAD350"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El objetivo de este acuerdo es delegar en la autoridad ambiental la ejecución inmediata de proyectos de restauración ecológica, monitoreo de flora andina y regulación de caudales en el embalse. Sin embargo, la Cláusula Quinta del Convenio impone a la ANM la carga de gestionar ante el Ministerio de Minas y Energía el inmediato saneamiento predial, registral y fiscal de estos activos, debido a que aún persisten rezagos de titulación y deudas acumuladas por concepto de impuesto predial municipal bajo la denominación histórica de "IFI - Concesión Salinas".</w:t>
      </w:r>
    </w:p>
    <w:p w14:paraId="0F19900A"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lastRenderedPageBreak/>
        <w:t>Esta actuación se materializó toda vez que, en el mes de mayo de 2025 y debido a la declaratoria de caducidad de los contratos de concesión minera HIQO-01 y HIQO-03 celebrados con COLSALMINAS LTDA., la Agencia Nacional de Minería tomó posesión física y directa del área, así como de los bienes e infraestructura de los Centros Salineros.</w:t>
      </w:r>
    </w:p>
    <w:p w14:paraId="62B7794B"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Dicha toma de posesión y la posterior entrega provisional se fundamentan rigurosamente en el numeral 11 del artículo 4 del Decreto 4134 de 2011 (</w:t>
      </w:r>
      <w:r w:rsidRPr="00965DCA">
        <w:rPr>
          <w:rFonts w:ascii="Arial" w:eastAsia="Arial" w:hAnsi="Arial" w:cs="Arial"/>
          <w:i/>
          <w:iCs/>
          <w:sz w:val="24"/>
          <w:szCs w:val="24"/>
        </w:rPr>
        <w:t>"Por el cual se crea la Agencia Nacional de Minería, ANM, se determina su objetivo y estructura orgánica"</w:t>
      </w:r>
      <w:r w:rsidRPr="00965DCA">
        <w:rPr>
          <w:rFonts w:ascii="Arial" w:eastAsia="Arial" w:hAnsi="Arial" w:cs="Arial"/>
          <w:sz w:val="24"/>
          <w:szCs w:val="24"/>
        </w:rPr>
        <w:t>), el cual confiere a la entidad la facultad expresa para:</w:t>
      </w:r>
    </w:p>
    <w:p w14:paraId="5237A095" w14:textId="1FBB5BDA" w:rsidR="00965DCA" w:rsidRDefault="00965DCA" w:rsidP="00965DCA">
      <w:pPr>
        <w:jc w:val="both"/>
        <w:rPr>
          <w:rFonts w:ascii="Arial" w:hAnsi="Arial" w:cs="Arial"/>
          <w:sz w:val="24"/>
          <w:szCs w:val="24"/>
        </w:rPr>
      </w:pPr>
      <w:r w:rsidRPr="00965DCA">
        <w:rPr>
          <w:rFonts w:ascii="Arial" w:eastAsia="Arial" w:hAnsi="Arial" w:cs="Arial"/>
          <w:i/>
          <w:iCs/>
          <w:sz w:val="24"/>
          <w:szCs w:val="24"/>
        </w:rPr>
        <w:t>"</w:t>
      </w:r>
      <w:r w:rsidRPr="00965DCA">
        <w:rPr>
          <w:rFonts w:ascii="Arial" w:eastAsia="Arial" w:hAnsi="Arial" w:cs="Arial"/>
          <w:b/>
          <w:bCs/>
          <w:i/>
          <w:iCs/>
          <w:sz w:val="24"/>
          <w:szCs w:val="24"/>
        </w:rPr>
        <w:t>ARTÍCULO 4°. Funciones.</w:t>
      </w:r>
      <w:r w:rsidRPr="00965DCA">
        <w:rPr>
          <w:rFonts w:ascii="Arial" w:eastAsia="Arial" w:hAnsi="Arial" w:cs="Arial"/>
          <w:i/>
          <w:iCs/>
          <w:sz w:val="24"/>
          <w:szCs w:val="24"/>
        </w:rPr>
        <w:t xml:space="preserve"> Son funciones de la Agencia Nacional de Minería, ANM las siguientes: [...] 11. Administrar y disponer de los bienes muebles e inmuebles que pasen al Estado por finalización de los contratos de concesión y demás títulos mineros en que aplique cláusula de reversión."</w:t>
      </w:r>
    </w:p>
    <w:p w14:paraId="5968FF70" w14:textId="77777777" w:rsidR="00965DCA" w:rsidRPr="00965DCA" w:rsidRDefault="00965DCA" w:rsidP="00965DCA">
      <w:pPr>
        <w:jc w:val="both"/>
        <w:rPr>
          <w:rFonts w:ascii="Arial" w:hAnsi="Arial" w:cs="Arial"/>
          <w:sz w:val="24"/>
          <w:szCs w:val="24"/>
        </w:rPr>
      </w:pPr>
    </w:p>
    <w:p w14:paraId="3B186738" w14:textId="77777777" w:rsidR="00965DCA" w:rsidRPr="00965DCA" w:rsidRDefault="00965DCA" w:rsidP="00965DCA">
      <w:pPr>
        <w:pStyle w:val="Prrafodelista"/>
        <w:numPr>
          <w:ilvl w:val="0"/>
          <w:numId w:val="4"/>
        </w:numPr>
        <w:spacing w:after="200" w:line="276" w:lineRule="auto"/>
        <w:jc w:val="both"/>
        <w:rPr>
          <w:b/>
          <w:bCs/>
          <w:sz w:val="24"/>
          <w:szCs w:val="24"/>
        </w:rPr>
      </w:pPr>
      <w:r w:rsidRPr="00965DCA">
        <w:rPr>
          <w:b/>
          <w:bCs/>
          <w:sz w:val="24"/>
          <w:szCs w:val="24"/>
        </w:rPr>
        <w:t xml:space="preserve">MARCO NORMATIVO </w:t>
      </w:r>
    </w:p>
    <w:p w14:paraId="323CA92F" w14:textId="77777777" w:rsidR="00965DCA" w:rsidRPr="00965DCA" w:rsidRDefault="00965DCA" w:rsidP="00965DCA">
      <w:pPr>
        <w:jc w:val="both"/>
        <w:rPr>
          <w:rFonts w:ascii="Arial" w:hAnsi="Arial" w:cs="Arial"/>
          <w:sz w:val="24"/>
          <w:szCs w:val="24"/>
        </w:rPr>
      </w:pPr>
    </w:p>
    <w:p w14:paraId="5C3341BF" w14:textId="77777777" w:rsidR="00965DCA" w:rsidRPr="00965DCA" w:rsidRDefault="00965DCA" w:rsidP="00965DCA">
      <w:pPr>
        <w:jc w:val="both"/>
        <w:rPr>
          <w:rFonts w:ascii="Arial" w:hAnsi="Arial" w:cs="Arial"/>
          <w:sz w:val="24"/>
          <w:szCs w:val="24"/>
        </w:rPr>
      </w:pPr>
      <w:r w:rsidRPr="00965DCA">
        <w:rPr>
          <w:rFonts w:ascii="Arial" w:hAnsi="Arial" w:cs="Arial"/>
          <w:b/>
          <w:bCs/>
          <w:sz w:val="24"/>
          <w:szCs w:val="24"/>
        </w:rPr>
        <w:t>Código Civil Colombiano (Artículo 756):</w:t>
      </w:r>
      <w:r w:rsidRPr="00965DCA">
        <w:rPr>
          <w:rFonts w:ascii="Arial" w:hAnsi="Arial" w:cs="Arial"/>
          <w:sz w:val="24"/>
          <w:szCs w:val="24"/>
        </w:rPr>
        <w:t xml:space="preserve"> Establece que la tradición del dominio sobre bienes raíces se efectúa mediante la inscripción del título legítimo en la respectiva Oficina de Registro de Instrumentos Públicos.</w:t>
      </w:r>
    </w:p>
    <w:p w14:paraId="5B464184" w14:textId="77777777" w:rsidR="00965DCA" w:rsidRPr="00965DCA" w:rsidRDefault="00965DCA" w:rsidP="00965DCA">
      <w:pPr>
        <w:jc w:val="both"/>
        <w:rPr>
          <w:rFonts w:ascii="Arial" w:hAnsi="Arial" w:cs="Arial"/>
          <w:sz w:val="24"/>
          <w:szCs w:val="24"/>
        </w:rPr>
      </w:pPr>
      <w:r w:rsidRPr="00965DCA">
        <w:rPr>
          <w:rFonts w:ascii="Arial" w:hAnsi="Arial" w:cs="Arial"/>
          <w:b/>
          <w:bCs/>
          <w:sz w:val="24"/>
          <w:szCs w:val="24"/>
        </w:rPr>
        <w:t xml:space="preserve">Código </w:t>
      </w:r>
      <w:proofErr w:type="gramStart"/>
      <w:r w:rsidRPr="00965DCA">
        <w:rPr>
          <w:rFonts w:ascii="Arial" w:hAnsi="Arial" w:cs="Arial"/>
          <w:b/>
          <w:bCs/>
          <w:sz w:val="24"/>
          <w:szCs w:val="24"/>
        </w:rPr>
        <w:t>Fiscal Nacional</w:t>
      </w:r>
      <w:proofErr w:type="gramEnd"/>
      <w:r w:rsidRPr="00965DCA">
        <w:rPr>
          <w:rFonts w:ascii="Arial" w:hAnsi="Arial" w:cs="Arial"/>
          <w:b/>
          <w:bCs/>
          <w:sz w:val="24"/>
          <w:szCs w:val="24"/>
        </w:rPr>
        <w:t xml:space="preserve"> (Ley 110 de 1912):</w:t>
      </w:r>
      <w:r w:rsidRPr="00965DCA">
        <w:rPr>
          <w:rFonts w:ascii="Arial" w:hAnsi="Arial" w:cs="Arial"/>
          <w:sz w:val="24"/>
          <w:szCs w:val="24"/>
        </w:rPr>
        <w:t xml:space="preserve"> Reconoce que las minas y salinas pertenecen a la Nación como bienes fiscales.</w:t>
      </w:r>
    </w:p>
    <w:p w14:paraId="58B51984" w14:textId="77777777" w:rsidR="00965DCA" w:rsidRPr="00965DCA" w:rsidRDefault="00965DCA" w:rsidP="00965DCA">
      <w:pPr>
        <w:jc w:val="both"/>
        <w:rPr>
          <w:rFonts w:ascii="Arial" w:hAnsi="Arial" w:cs="Arial"/>
          <w:sz w:val="24"/>
          <w:szCs w:val="24"/>
        </w:rPr>
      </w:pPr>
      <w:r w:rsidRPr="00965DCA">
        <w:rPr>
          <w:rFonts w:ascii="Arial" w:hAnsi="Arial" w:cs="Arial"/>
          <w:b/>
          <w:bCs/>
          <w:sz w:val="24"/>
          <w:szCs w:val="24"/>
        </w:rPr>
        <w:t>Régimen Procesal Administrativo (Ley 1437 de 2011 - CPACA):</w:t>
      </w:r>
      <w:r w:rsidRPr="00965DCA">
        <w:rPr>
          <w:rFonts w:ascii="Arial" w:hAnsi="Arial" w:cs="Arial"/>
          <w:sz w:val="24"/>
          <w:szCs w:val="24"/>
        </w:rPr>
        <w:t xml:space="preserve"> Establece los principios de firmeza, ejecutoria y presunción de legalidad de los actos administrativos, regulando estrictamente las causales de pérdida de fuerza ejecutoria (decaimiento).</w:t>
      </w:r>
    </w:p>
    <w:p w14:paraId="4F9F8F43" w14:textId="77777777" w:rsidR="00965DCA" w:rsidRPr="00965DCA" w:rsidRDefault="00965DCA" w:rsidP="00965DCA">
      <w:pPr>
        <w:jc w:val="both"/>
        <w:rPr>
          <w:rFonts w:ascii="Arial" w:hAnsi="Arial" w:cs="Arial"/>
          <w:sz w:val="24"/>
          <w:szCs w:val="24"/>
        </w:rPr>
      </w:pPr>
      <w:r w:rsidRPr="00965DCA">
        <w:rPr>
          <w:rFonts w:ascii="Arial" w:hAnsi="Arial" w:cs="Arial"/>
          <w:b/>
          <w:bCs/>
          <w:sz w:val="24"/>
          <w:szCs w:val="24"/>
        </w:rPr>
        <w:t>Estatuto Registral Inmobiliario (Ley 1579 de 2012):</w:t>
      </w:r>
      <w:r w:rsidRPr="00965DCA">
        <w:rPr>
          <w:rFonts w:ascii="Arial" w:hAnsi="Arial" w:cs="Arial"/>
          <w:sz w:val="24"/>
          <w:szCs w:val="24"/>
        </w:rPr>
        <w:t xml:space="preserve"> Marco regulatorio de la función pública registral.</w:t>
      </w:r>
    </w:p>
    <w:p w14:paraId="5975D8A0" w14:textId="77777777" w:rsidR="00965DCA" w:rsidRPr="00965DCA" w:rsidRDefault="00965DCA" w:rsidP="00965DCA">
      <w:pPr>
        <w:jc w:val="both"/>
        <w:rPr>
          <w:rFonts w:ascii="Arial" w:hAnsi="Arial" w:cs="Arial"/>
          <w:sz w:val="24"/>
          <w:szCs w:val="24"/>
        </w:rPr>
      </w:pPr>
      <w:r w:rsidRPr="00965DCA">
        <w:rPr>
          <w:rFonts w:ascii="Arial" w:hAnsi="Arial" w:cs="Arial"/>
          <w:b/>
          <w:bCs/>
          <w:sz w:val="24"/>
          <w:szCs w:val="24"/>
        </w:rPr>
        <w:t xml:space="preserve">Leyes Especiales de Saneamiento Fiscal (Decreto 1014 de 2005, Decreto 47 de 2014): </w:t>
      </w:r>
      <w:r w:rsidRPr="00965DCA">
        <w:rPr>
          <w:rFonts w:ascii="Arial" w:hAnsi="Arial" w:cs="Arial"/>
          <w:sz w:val="24"/>
          <w:szCs w:val="24"/>
        </w:rPr>
        <w:t>Conjunto normativo de excepción que faculta a las entidades estatales del orden nacional para sanear, transferir y titular bienes fiscales de forma directa mediante actos de naturaleza declarativa.</w:t>
      </w:r>
    </w:p>
    <w:p w14:paraId="19044C1E" w14:textId="77777777" w:rsidR="00965DCA" w:rsidRPr="00965DCA" w:rsidRDefault="00965DCA" w:rsidP="00965DCA">
      <w:pPr>
        <w:jc w:val="both"/>
        <w:rPr>
          <w:rFonts w:ascii="Arial" w:hAnsi="Arial" w:cs="Arial"/>
          <w:sz w:val="24"/>
          <w:szCs w:val="24"/>
        </w:rPr>
      </w:pPr>
    </w:p>
    <w:p w14:paraId="54E8D425" w14:textId="77777777" w:rsidR="00965DCA" w:rsidRPr="00965DCA" w:rsidRDefault="00965DCA" w:rsidP="00965DCA">
      <w:pPr>
        <w:jc w:val="both"/>
        <w:rPr>
          <w:rFonts w:ascii="Arial" w:hAnsi="Arial" w:cs="Arial"/>
          <w:b/>
          <w:bCs/>
          <w:sz w:val="24"/>
          <w:szCs w:val="24"/>
        </w:rPr>
      </w:pPr>
      <w:r w:rsidRPr="00965DCA">
        <w:rPr>
          <w:rFonts w:ascii="Arial" w:hAnsi="Arial" w:cs="Arial"/>
          <w:b/>
          <w:bCs/>
          <w:sz w:val="24"/>
          <w:szCs w:val="24"/>
        </w:rPr>
        <w:lastRenderedPageBreak/>
        <w:t xml:space="preserve">Norma de saneamiento de títulos de bienes inmuebles de la Nación y entidades extintas o inexistentes del orden nacional (Ley 1955 de 2019, art. 40): </w:t>
      </w:r>
      <w:r w:rsidRPr="00965DCA">
        <w:rPr>
          <w:rFonts w:ascii="Arial" w:hAnsi="Arial" w:cs="Arial"/>
          <w:sz w:val="24"/>
          <w:szCs w:val="24"/>
        </w:rPr>
        <w:t>Establece las</w:t>
      </w:r>
      <w:r w:rsidRPr="00965DCA">
        <w:rPr>
          <w:rFonts w:ascii="Arial" w:hAnsi="Arial" w:cs="Arial"/>
          <w:b/>
          <w:bCs/>
          <w:sz w:val="24"/>
          <w:szCs w:val="24"/>
        </w:rPr>
        <w:t xml:space="preserve"> </w:t>
      </w:r>
      <w:r w:rsidRPr="00965DCA">
        <w:rPr>
          <w:rFonts w:ascii="Arial" w:hAnsi="Arial" w:cs="Arial"/>
          <w:sz w:val="24"/>
          <w:szCs w:val="24"/>
        </w:rPr>
        <w:t>normas de</w:t>
      </w:r>
      <w:r w:rsidRPr="00965DCA">
        <w:rPr>
          <w:rFonts w:ascii="Arial" w:hAnsi="Arial" w:cs="Arial"/>
          <w:b/>
          <w:bCs/>
          <w:sz w:val="24"/>
          <w:szCs w:val="24"/>
        </w:rPr>
        <w:t xml:space="preserve"> </w:t>
      </w:r>
      <w:r w:rsidRPr="00965DCA">
        <w:rPr>
          <w:rFonts w:ascii="Arial" w:eastAsia="Arial" w:hAnsi="Arial" w:cs="Arial"/>
          <w:sz w:val="24"/>
          <w:szCs w:val="24"/>
        </w:rPr>
        <w:t>saneamiento de la titularidad de bienes inmuebles cuyos registros de propiedad figuren a nombre de entidades extintas o inexistentes, o de manera genérica e indeterminada a nombre de la Nación o del Estado colombiano.</w:t>
      </w:r>
    </w:p>
    <w:p w14:paraId="65C94FD4" w14:textId="77777777" w:rsidR="00965DCA" w:rsidRPr="00965DCA" w:rsidRDefault="00965DCA" w:rsidP="00965DCA">
      <w:pPr>
        <w:jc w:val="both"/>
        <w:rPr>
          <w:rFonts w:ascii="Arial" w:hAnsi="Arial" w:cs="Arial"/>
          <w:i/>
          <w:iCs/>
          <w:sz w:val="24"/>
          <w:szCs w:val="24"/>
        </w:rPr>
      </w:pPr>
      <w:r w:rsidRPr="00965DCA">
        <w:rPr>
          <w:rFonts w:ascii="Arial" w:eastAsia="Arial" w:hAnsi="Arial" w:cs="Arial"/>
          <w:b/>
          <w:bCs/>
          <w:sz w:val="24"/>
          <w:szCs w:val="24"/>
        </w:rPr>
        <w:t xml:space="preserve">Decreto 4134 de 2011: </w:t>
      </w:r>
      <w:r w:rsidRPr="00965DCA">
        <w:rPr>
          <w:rFonts w:ascii="Arial" w:eastAsia="Arial" w:hAnsi="Arial" w:cs="Arial"/>
          <w:sz w:val="24"/>
          <w:szCs w:val="24"/>
        </w:rPr>
        <w:t>Por el cual se confiere a la Agencia Nacional de Minería - ANM la facultad expresa para “</w:t>
      </w:r>
      <w:r w:rsidRPr="00965DCA">
        <w:rPr>
          <w:rFonts w:ascii="Arial" w:eastAsia="Arial" w:hAnsi="Arial" w:cs="Arial"/>
          <w:i/>
          <w:iCs/>
          <w:sz w:val="24"/>
          <w:szCs w:val="24"/>
        </w:rPr>
        <w:t>Administrar y disponer de los bienes muebles e inmuebles que pasen al Estado por finalización de los contratos de concesión y demás títulos mineros en que aplique cláusula de reversión."</w:t>
      </w:r>
    </w:p>
    <w:p w14:paraId="77086316" w14:textId="77777777" w:rsidR="00965DCA" w:rsidRPr="00965DCA" w:rsidRDefault="00965DCA" w:rsidP="00965DCA">
      <w:pPr>
        <w:jc w:val="both"/>
        <w:rPr>
          <w:rFonts w:ascii="Arial" w:hAnsi="Arial" w:cs="Arial"/>
          <w:sz w:val="24"/>
          <w:szCs w:val="24"/>
        </w:rPr>
      </w:pPr>
    </w:p>
    <w:p w14:paraId="17CE497E" w14:textId="77777777" w:rsidR="00965DCA" w:rsidRPr="00965DCA" w:rsidRDefault="00965DCA" w:rsidP="00965DCA">
      <w:pPr>
        <w:pStyle w:val="Prrafodelista"/>
        <w:numPr>
          <w:ilvl w:val="0"/>
          <w:numId w:val="4"/>
        </w:numPr>
        <w:spacing w:after="200" w:line="276" w:lineRule="auto"/>
        <w:jc w:val="both"/>
        <w:rPr>
          <w:b/>
          <w:bCs/>
          <w:sz w:val="24"/>
          <w:szCs w:val="24"/>
        </w:rPr>
      </w:pPr>
      <w:r w:rsidRPr="00965DCA">
        <w:rPr>
          <w:b/>
          <w:bCs/>
          <w:sz w:val="24"/>
          <w:szCs w:val="24"/>
        </w:rPr>
        <w:t>ANÁLISIS JURÍDICO</w:t>
      </w:r>
    </w:p>
    <w:p w14:paraId="5FE61C0C" w14:textId="77777777" w:rsidR="00965DCA" w:rsidRPr="00965DCA" w:rsidRDefault="00965DCA" w:rsidP="00965DCA">
      <w:pPr>
        <w:pStyle w:val="Prrafodelista"/>
        <w:spacing w:after="200" w:line="276" w:lineRule="auto"/>
        <w:ind w:left="1080"/>
        <w:jc w:val="both"/>
        <w:rPr>
          <w:sz w:val="24"/>
          <w:szCs w:val="24"/>
        </w:rPr>
      </w:pPr>
    </w:p>
    <w:p w14:paraId="19CED7D2" w14:textId="77777777" w:rsidR="00965DCA" w:rsidRPr="00965DCA" w:rsidRDefault="00965DCA" w:rsidP="00965DCA">
      <w:pPr>
        <w:jc w:val="both"/>
        <w:rPr>
          <w:rFonts w:ascii="Arial" w:hAnsi="Arial" w:cs="Arial"/>
          <w:sz w:val="24"/>
          <w:szCs w:val="24"/>
        </w:rPr>
      </w:pPr>
      <w:r w:rsidRPr="00965DCA">
        <w:rPr>
          <w:rFonts w:ascii="Arial" w:hAnsi="Arial" w:cs="Arial"/>
          <w:sz w:val="24"/>
          <w:szCs w:val="24"/>
        </w:rPr>
        <w:t xml:space="preserve">Como punto de partida se toma el informe remitido por la Superintendencia de Notariado y Registro - SNR, mediante el cual emitió un pronunciamiento (no vinculante), con relación a la </w:t>
      </w:r>
      <w:proofErr w:type="spellStart"/>
      <w:r w:rsidRPr="00965DCA">
        <w:rPr>
          <w:rFonts w:ascii="Arial" w:hAnsi="Arial" w:cs="Arial"/>
          <w:sz w:val="24"/>
          <w:szCs w:val="24"/>
        </w:rPr>
        <w:t>registrabilidad</w:t>
      </w:r>
      <w:proofErr w:type="spellEnd"/>
      <w:r w:rsidRPr="00965DCA">
        <w:rPr>
          <w:rFonts w:ascii="Arial" w:hAnsi="Arial" w:cs="Arial"/>
          <w:sz w:val="24"/>
          <w:szCs w:val="24"/>
        </w:rPr>
        <w:t xml:space="preserve"> de los bienes fiscales afectos a las salinas de Zipaquirá y Nemocón, previa solicitud realizada por el Ministerio de Minas y Energía. En dicho pronunciamiento, para la SNR, los actos administrativos de entrega emitidos por el extinto Instituto de Fomento Industrial – IFI no son susceptibles de registro, argumentando, por un lado, que los títulos adolecen de requisitos formales conforme a lo establecido en las Leyes 1437 de 2011 y 1579 de 2012 y, por el otro, que el extinto IFI no tenía la competencia para transferir el dominio de los citados bienes fiscales, sino solamente su administración. </w:t>
      </w:r>
    </w:p>
    <w:p w14:paraId="6C1543B7"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 xml:space="preserve">Si bien el criterio expuesto por la Superintendencia de Notariado y Registro constituye un importante referente interpretativo, el mismo no resulta vinculante para el Ministerio, razón por la cual procede efectuar un análisis autónomo a la luz del régimen jurídico aplicable, ya que desde el análisis realizado por </w:t>
      </w:r>
      <w:r w:rsidRPr="00965DCA">
        <w:rPr>
          <w:rFonts w:ascii="Arial" w:hAnsi="Arial" w:cs="Arial"/>
          <w:sz w:val="24"/>
          <w:szCs w:val="24"/>
        </w:rPr>
        <w:t xml:space="preserve">este equipo de trabajo, dicha postura, por un lado, infringe la teoría de las situaciones jurídicas consolidadas, toda vez que las actas de transferencia nacieron a la vida jurídica en el año 2008, bajo la vigencia del Decreto 01 de 1984 y el Decreto Ley 1250 de 1970. Por ende, su validez intrínseca, competencia, contenido y firmeza se juzgan exclusivamente bajo el bloque normativo de su época (principio de </w:t>
      </w:r>
      <w:proofErr w:type="spellStart"/>
      <w:r w:rsidRPr="00965DCA">
        <w:rPr>
          <w:rFonts w:ascii="Arial" w:hAnsi="Arial" w:cs="Arial"/>
          <w:i/>
          <w:iCs/>
          <w:sz w:val="24"/>
          <w:szCs w:val="24"/>
        </w:rPr>
        <w:t>tempus</w:t>
      </w:r>
      <w:proofErr w:type="spellEnd"/>
      <w:r w:rsidRPr="00965DCA">
        <w:rPr>
          <w:rFonts w:ascii="Arial" w:hAnsi="Arial" w:cs="Arial"/>
          <w:i/>
          <w:iCs/>
          <w:sz w:val="24"/>
          <w:szCs w:val="24"/>
        </w:rPr>
        <w:t xml:space="preserve"> </w:t>
      </w:r>
      <w:proofErr w:type="spellStart"/>
      <w:r w:rsidRPr="00965DCA">
        <w:rPr>
          <w:rFonts w:ascii="Arial" w:hAnsi="Arial" w:cs="Arial"/>
          <w:i/>
          <w:iCs/>
          <w:sz w:val="24"/>
          <w:szCs w:val="24"/>
        </w:rPr>
        <w:t>regit</w:t>
      </w:r>
      <w:proofErr w:type="spellEnd"/>
      <w:r w:rsidRPr="00965DCA">
        <w:rPr>
          <w:rFonts w:ascii="Arial" w:hAnsi="Arial" w:cs="Arial"/>
          <w:i/>
          <w:iCs/>
          <w:sz w:val="24"/>
          <w:szCs w:val="24"/>
        </w:rPr>
        <w:t xml:space="preserve"> </w:t>
      </w:r>
      <w:proofErr w:type="spellStart"/>
      <w:r w:rsidRPr="00965DCA">
        <w:rPr>
          <w:rFonts w:ascii="Arial" w:hAnsi="Arial" w:cs="Arial"/>
          <w:i/>
          <w:iCs/>
          <w:sz w:val="24"/>
          <w:szCs w:val="24"/>
        </w:rPr>
        <w:t>actum</w:t>
      </w:r>
      <w:proofErr w:type="spellEnd"/>
      <w:r w:rsidRPr="00965DCA">
        <w:rPr>
          <w:rFonts w:ascii="Arial" w:hAnsi="Arial" w:cs="Arial"/>
          <w:sz w:val="24"/>
          <w:szCs w:val="24"/>
        </w:rPr>
        <w:t xml:space="preserve">), sin que quepa la exigencia retrospectiva de formalidades creadas por leyes posteriores. En este sentido, no se considera procedente argumentar que las actas hayan perdido fuerza ejecutoria por el transcurso del tiempo (Artículo 66 del Decreto 01 de 1984 / Artículo 91 de la Ley 1437 de 2011), toda vez que </w:t>
      </w:r>
      <w:r w:rsidRPr="00965DCA">
        <w:rPr>
          <w:rFonts w:ascii="Arial" w:hAnsi="Arial" w:cs="Arial"/>
          <w:sz w:val="24"/>
          <w:szCs w:val="24"/>
        </w:rPr>
        <w:lastRenderedPageBreak/>
        <w:t>se confunden los efectos procesales de la ejecución, con la validez del título. Esto, teniendo en cuenta que, conforme a lo establecido en el artículo 91 de la Ley 1437 de 2011, no han desaparecido los fundamentos de hecho y de derecho que originaron estos actos, pues el derecho de propiedad reconocido a favor del Ministerio de Minas y Energía permanece intacto.</w:t>
      </w:r>
    </w:p>
    <w:p w14:paraId="06D3ADCF" w14:textId="77777777" w:rsidR="00965DCA" w:rsidRPr="00965DCA" w:rsidRDefault="00965DCA" w:rsidP="00965DCA">
      <w:pPr>
        <w:jc w:val="both"/>
        <w:rPr>
          <w:rFonts w:ascii="Arial" w:hAnsi="Arial" w:cs="Arial"/>
          <w:sz w:val="24"/>
          <w:szCs w:val="24"/>
        </w:rPr>
      </w:pPr>
      <w:r w:rsidRPr="00965DCA">
        <w:rPr>
          <w:rFonts w:ascii="Arial" w:hAnsi="Arial" w:cs="Arial"/>
          <w:sz w:val="24"/>
          <w:szCs w:val="24"/>
        </w:rPr>
        <w:t xml:space="preserve">Es así como, </w:t>
      </w:r>
      <w:r w:rsidRPr="00965DCA">
        <w:rPr>
          <w:rFonts w:ascii="Arial" w:eastAsia="Arial" w:hAnsi="Arial" w:cs="Arial"/>
          <w:sz w:val="24"/>
          <w:szCs w:val="24"/>
          <w:lang w:eastAsia="es-CO"/>
        </w:rPr>
        <w:t xml:space="preserve">los actos expedidos en el año 2008 (actas de transferencia de dominio emitidas por el IFI en Liquidación) no se constituyen en órdenes administrativas que requieran una ejecución material única y puntual, sino que son actos mediante los cuales se dispuso la transferencia de bienes del IFI en Liquidación a la Nación – Ministerio de Minas y Energía, es decir, su efecto es permanente.  Así las cosas, estos actos ya produjeron sus efectos jurídicos principales desde el año 2008, cuando el IFI en Liquidación emitió los actos administrativos y el Ministerio de Minas y Energía recibió los inmuebles tanto jurídica como materialmente. </w:t>
      </w:r>
    </w:p>
    <w:p w14:paraId="01BF8817"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lang w:eastAsia="es-CO"/>
        </w:rPr>
        <w:t>Ahora bien, si hubiere controversia respecto de que los actos hayan perdido fuerza ejecutoria y, eventualmente, se negara la inscripción, no sería la Oficina de Registro e Instrumentos Públicos - ORIP quien tendría la última palabra sobre la validez de los actos, sino que, habría que acudir a la Jurisdicción de lo Contencioso Administrativa. Esto, teniendo en cuenta que la inscripción registral constituye una actuación de publicidad pendiente y no la ejecución del acto de transferencia.</w:t>
      </w:r>
    </w:p>
    <w:p w14:paraId="2BD47C13" w14:textId="77777777" w:rsidR="00965DCA" w:rsidRPr="00965DCA" w:rsidRDefault="00965DCA" w:rsidP="00965DCA">
      <w:pPr>
        <w:jc w:val="both"/>
        <w:rPr>
          <w:rFonts w:ascii="Arial" w:hAnsi="Arial" w:cs="Arial"/>
          <w:sz w:val="24"/>
          <w:szCs w:val="24"/>
        </w:rPr>
      </w:pPr>
      <w:r w:rsidRPr="00965DCA">
        <w:rPr>
          <w:rFonts w:ascii="Arial" w:hAnsi="Arial" w:cs="Arial"/>
          <w:sz w:val="24"/>
          <w:szCs w:val="24"/>
        </w:rPr>
        <w:t>Por otro lado, si bien es cierto que gran parte de los folios inmobiliarios del grupo de activos transferidos por el extinto IFI registran titularidades variables a nombre de "</w:t>
      </w:r>
      <w:r w:rsidRPr="00965DCA">
        <w:rPr>
          <w:rFonts w:ascii="Arial" w:hAnsi="Arial" w:cs="Arial"/>
          <w:i/>
          <w:iCs/>
          <w:sz w:val="24"/>
          <w:szCs w:val="24"/>
        </w:rPr>
        <w:t>La Nación</w:t>
      </w:r>
      <w:r w:rsidRPr="00965DCA">
        <w:rPr>
          <w:rFonts w:ascii="Arial" w:hAnsi="Arial" w:cs="Arial"/>
          <w:sz w:val="24"/>
          <w:szCs w:val="24"/>
        </w:rPr>
        <w:t>", "</w:t>
      </w:r>
      <w:r w:rsidRPr="00965DCA">
        <w:rPr>
          <w:rFonts w:ascii="Arial" w:hAnsi="Arial" w:cs="Arial"/>
          <w:i/>
          <w:iCs/>
          <w:sz w:val="24"/>
          <w:szCs w:val="24"/>
        </w:rPr>
        <w:t>La Nación - Concesión de Salinas</w:t>
      </w:r>
      <w:r w:rsidRPr="00965DCA">
        <w:rPr>
          <w:rFonts w:ascii="Arial" w:hAnsi="Arial" w:cs="Arial"/>
          <w:sz w:val="24"/>
          <w:szCs w:val="24"/>
        </w:rPr>
        <w:t>", o "</w:t>
      </w:r>
      <w:r w:rsidRPr="00965DCA">
        <w:rPr>
          <w:rFonts w:ascii="Arial" w:hAnsi="Arial" w:cs="Arial"/>
          <w:i/>
          <w:iCs/>
          <w:sz w:val="24"/>
          <w:szCs w:val="24"/>
        </w:rPr>
        <w:t>La Nación administrada por el IFI</w:t>
      </w:r>
      <w:r w:rsidRPr="00965DCA">
        <w:rPr>
          <w:rFonts w:ascii="Arial" w:hAnsi="Arial" w:cs="Arial"/>
          <w:sz w:val="24"/>
          <w:szCs w:val="24"/>
        </w:rPr>
        <w:t xml:space="preserve">", la Nación colombiana constituye una única persona jurídica de derecho público de carácter macro. Es así como, los traslados de activos inmobiliarios entre un Establecimiento Público Nacional en liquidación (IFI) y un Ministerio (MME) no representan un negocio jurídico de enajenación entre particulares, sino que se trata de una reasignación interna de competencias de uso, administración y custodia. Ahora bien, como se ha manifestado en las diferentes mesas de trabajo adelantadas con la Secretaría General, para que el Ministerio de Minas y Energía pueda ejercer cabalmente la administración de estos predios, es menester que éstos se encuentren a nombre de esta entidad, para poder incorporarlas al inventario institucional de bienes y así poder destinar actividades y recursos para ello.  </w:t>
      </w:r>
    </w:p>
    <w:p w14:paraId="11A8B4B5" w14:textId="77777777" w:rsidR="00965DCA" w:rsidRPr="00965DCA" w:rsidRDefault="00965DCA" w:rsidP="00965DCA">
      <w:pPr>
        <w:jc w:val="both"/>
        <w:rPr>
          <w:rFonts w:ascii="Arial" w:hAnsi="Arial" w:cs="Arial"/>
          <w:sz w:val="24"/>
          <w:szCs w:val="24"/>
        </w:rPr>
      </w:pPr>
    </w:p>
    <w:p w14:paraId="10293908" w14:textId="77777777" w:rsidR="00965DCA" w:rsidRPr="00965DCA" w:rsidRDefault="00965DCA" w:rsidP="00965DCA">
      <w:pPr>
        <w:jc w:val="both"/>
        <w:rPr>
          <w:rFonts w:ascii="Arial" w:hAnsi="Arial" w:cs="Arial"/>
          <w:sz w:val="24"/>
          <w:szCs w:val="24"/>
        </w:rPr>
      </w:pPr>
      <w:r w:rsidRPr="00965DCA">
        <w:rPr>
          <w:rFonts w:ascii="Arial" w:hAnsi="Arial" w:cs="Arial"/>
          <w:sz w:val="24"/>
          <w:szCs w:val="24"/>
        </w:rPr>
        <w:lastRenderedPageBreak/>
        <w:t>En este orden de ideas, d</w:t>
      </w:r>
      <w:r w:rsidRPr="00965DCA">
        <w:rPr>
          <w:rFonts w:ascii="Arial" w:eastAsia="Arial" w:hAnsi="Arial" w:cs="Arial"/>
          <w:sz w:val="24"/>
          <w:szCs w:val="24"/>
        </w:rPr>
        <w:t xml:space="preserve">e conformidad con el artículo 40 de la Ley 1955 de 2019, las entidades del orden nacional cuentan con una herramienta jurídica para el saneamiento de la titularidad de bienes inmuebles cuyos registros de propiedad figuren a nombre de entidades extintas o inexistentes, o de manera genérica e indeterminada a nombre de la Nación o del Estado colombiano. En estos eventos, la norma autoriza la asignación registral del inmueble al Ministerio o Departamento Administrativo cabeza del sector al que perteneció o debió pertenecer la entidad titular, o a la entidad cuyas funciones guarden relación con el objeto o destinación del bien. </w:t>
      </w:r>
      <w:r w:rsidRPr="00965DCA">
        <w:rPr>
          <w:rFonts w:ascii="Arial" w:hAnsi="Arial" w:cs="Arial"/>
          <w:sz w:val="24"/>
          <w:szCs w:val="24"/>
        </w:rPr>
        <w:t xml:space="preserve">Así, es importante tener en cuenta que el Ministerio de Minas y Energía actúa en representación de la Nación y se constituye en la cabeza del sector Minero Energético, conforme a lo dispuesto en la Constitución Política de Colombia, el Decreto 381 de 2012 y demás normas concordantes. </w:t>
      </w:r>
    </w:p>
    <w:p w14:paraId="187DA101" w14:textId="77777777" w:rsidR="00965DCA" w:rsidRPr="00965DCA" w:rsidRDefault="00965DCA" w:rsidP="00965DCA">
      <w:pPr>
        <w:jc w:val="both"/>
        <w:rPr>
          <w:rFonts w:ascii="Arial" w:hAnsi="Arial" w:cs="Arial"/>
          <w:sz w:val="24"/>
          <w:szCs w:val="24"/>
        </w:rPr>
      </w:pPr>
    </w:p>
    <w:p w14:paraId="26966693" w14:textId="77777777" w:rsidR="00965DCA" w:rsidRPr="00965DCA" w:rsidRDefault="00965DCA" w:rsidP="00965DCA">
      <w:pPr>
        <w:pStyle w:val="Prrafodelista"/>
        <w:numPr>
          <w:ilvl w:val="0"/>
          <w:numId w:val="4"/>
        </w:numPr>
        <w:spacing w:after="200" w:line="276" w:lineRule="auto"/>
        <w:jc w:val="both"/>
        <w:rPr>
          <w:b/>
          <w:bCs/>
          <w:sz w:val="24"/>
          <w:szCs w:val="24"/>
        </w:rPr>
      </w:pPr>
      <w:r w:rsidRPr="00965DCA">
        <w:rPr>
          <w:b/>
          <w:bCs/>
          <w:sz w:val="24"/>
          <w:szCs w:val="24"/>
        </w:rPr>
        <w:t>INVENTARIO COMPLETO Y MATRIZ TÉCNICA DE LOS TREINTA (30) PREDIOS</w:t>
      </w:r>
    </w:p>
    <w:p w14:paraId="72E9EC9E" w14:textId="77777777" w:rsidR="00965DCA" w:rsidRPr="00965DCA" w:rsidRDefault="00965DCA" w:rsidP="00965DCA">
      <w:pPr>
        <w:pStyle w:val="Prrafodelista"/>
        <w:spacing w:after="200" w:line="276" w:lineRule="auto"/>
        <w:ind w:left="1080"/>
        <w:jc w:val="both"/>
        <w:rPr>
          <w:sz w:val="24"/>
          <w:szCs w:val="24"/>
        </w:rPr>
      </w:pPr>
    </w:p>
    <w:p w14:paraId="132753BA" w14:textId="77777777" w:rsidR="00965DCA" w:rsidRPr="00965DCA" w:rsidRDefault="00965DCA" w:rsidP="00965DCA">
      <w:pPr>
        <w:jc w:val="both"/>
        <w:rPr>
          <w:rFonts w:ascii="Arial" w:hAnsi="Arial" w:cs="Arial"/>
          <w:sz w:val="24"/>
          <w:szCs w:val="24"/>
        </w:rPr>
      </w:pPr>
      <w:r w:rsidRPr="00965DCA">
        <w:rPr>
          <w:rFonts w:ascii="Arial" w:hAnsi="Arial" w:cs="Arial"/>
          <w:sz w:val="24"/>
          <w:szCs w:val="24"/>
        </w:rPr>
        <w:t>A continuación, se integra de forma completa y unificada el listado de los treinta (30) predios operacionales ubicados en las zonas mineras de Zipaquirá y Nemocón, indicando su número de acta de transferencial, matrícula inmobiliaria y propietario registral:</w:t>
      </w:r>
    </w:p>
    <w:p w14:paraId="66C3B074" w14:textId="77777777" w:rsidR="00965DCA" w:rsidRPr="00965DCA" w:rsidRDefault="00965DCA" w:rsidP="00965DCA">
      <w:pPr>
        <w:jc w:val="both"/>
        <w:rPr>
          <w:rFonts w:ascii="Arial" w:hAnsi="Arial" w:cs="Arial"/>
          <w:sz w:val="24"/>
          <w:szCs w:val="24"/>
        </w:rPr>
      </w:pPr>
    </w:p>
    <w:tbl>
      <w:tblPr>
        <w:tblW w:w="936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Look w:val="0600" w:firstRow="0" w:lastRow="0" w:firstColumn="0" w:lastColumn="0" w:noHBand="1" w:noVBand="1"/>
      </w:tblPr>
      <w:tblGrid>
        <w:gridCol w:w="1338"/>
        <w:gridCol w:w="1337"/>
        <w:gridCol w:w="1337"/>
        <w:gridCol w:w="1337"/>
        <w:gridCol w:w="1337"/>
        <w:gridCol w:w="1337"/>
        <w:gridCol w:w="1337"/>
      </w:tblGrid>
      <w:tr w:rsidR="00965DCA" w:rsidRPr="00965DCA" w14:paraId="3553D64D" w14:textId="77777777" w:rsidTr="0037006D">
        <w:trPr>
          <w:tblHeader/>
        </w:trPr>
        <w:tc>
          <w:tcPr>
            <w:tcW w:w="1337" w:type="dxa"/>
            <w:shd w:val="clear" w:color="auto" w:fill="1A365D"/>
            <w:tcMar>
              <w:top w:w="90" w:type="dxa"/>
              <w:left w:w="90" w:type="dxa"/>
              <w:bottom w:w="90" w:type="dxa"/>
              <w:right w:w="90" w:type="dxa"/>
            </w:tcMar>
          </w:tcPr>
          <w:p w14:paraId="7C554095" w14:textId="77777777" w:rsidR="00965DCA" w:rsidRPr="00965DCA" w:rsidRDefault="00965DCA" w:rsidP="00965DCA">
            <w:pPr>
              <w:jc w:val="both"/>
              <w:rPr>
                <w:rFonts w:ascii="Arial" w:hAnsi="Arial" w:cs="Arial"/>
                <w:b/>
                <w:bCs/>
                <w:color w:val="FFFFFF"/>
                <w:sz w:val="16"/>
                <w:szCs w:val="16"/>
              </w:rPr>
            </w:pPr>
            <w:r w:rsidRPr="00965DCA">
              <w:rPr>
                <w:rFonts w:ascii="Arial" w:hAnsi="Arial" w:cs="Arial"/>
                <w:b/>
                <w:bCs/>
                <w:color w:val="FFFFFF" w:themeColor="background1"/>
                <w:sz w:val="16"/>
                <w:szCs w:val="16"/>
              </w:rPr>
              <w:t>No.</w:t>
            </w:r>
          </w:p>
        </w:tc>
        <w:tc>
          <w:tcPr>
            <w:tcW w:w="1337" w:type="dxa"/>
            <w:shd w:val="clear" w:color="auto" w:fill="1A365D"/>
            <w:tcMar>
              <w:top w:w="90" w:type="dxa"/>
              <w:left w:w="90" w:type="dxa"/>
              <w:bottom w:w="90" w:type="dxa"/>
              <w:right w:w="90" w:type="dxa"/>
            </w:tcMar>
          </w:tcPr>
          <w:p w14:paraId="6D9B8A4A" w14:textId="77777777" w:rsidR="00965DCA" w:rsidRPr="00965DCA" w:rsidRDefault="00965DCA" w:rsidP="00965DCA">
            <w:pPr>
              <w:jc w:val="both"/>
              <w:rPr>
                <w:rFonts w:ascii="Arial" w:hAnsi="Arial" w:cs="Arial"/>
                <w:b/>
                <w:bCs/>
                <w:color w:val="FFFFFF"/>
                <w:sz w:val="16"/>
                <w:szCs w:val="16"/>
              </w:rPr>
            </w:pPr>
            <w:r w:rsidRPr="00965DCA">
              <w:rPr>
                <w:rFonts w:ascii="Arial" w:hAnsi="Arial" w:cs="Arial"/>
                <w:b/>
                <w:bCs/>
                <w:color w:val="FFFFFF" w:themeColor="background1"/>
                <w:sz w:val="16"/>
                <w:szCs w:val="16"/>
              </w:rPr>
              <w:t>N° Acta de Entrega</w:t>
            </w:r>
          </w:p>
        </w:tc>
        <w:tc>
          <w:tcPr>
            <w:tcW w:w="1337" w:type="dxa"/>
            <w:shd w:val="clear" w:color="auto" w:fill="1A365D"/>
            <w:tcMar>
              <w:top w:w="90" w:type="dxa"/>
              <w:left w:w="90" w:type="dxa"/>
              <w:bottom w:w="90" w:type="dxa"/>
              <w:right w:w="90" w:type="dxa"/>
            </w:tcMar>
          </w:tcPr>
          <w:p w14:paraId="031523F6" w14:textId="77777777" w:rsidR="00965DCA" w:rsidRPr="00965DCA" w:rsidRDefault="00965DCA" w:rsidP="00965DCA">
            <w:pPr>
              <w:jc w:val="both"/>
              <w:rPr>
                <w:rFonts w:ascii="Arial" w:hAnsi="Arial" w:cs="Arial"/>
                <w:b/>
                <w:bCs/>
                <w:color w:val="FFFFFF"/>
                <w:sz w:val="16"/>
                <w:szCs w:val="16"/>
              </w:rPr>
            </w:pPr>
            <w:r w:rsidRPr="00965DCA">
              <w:rPr>
                <w:rFonts w:ascii="Arial" w:hAnsi="Arial" w:cs="Arial"/>
                <w:b/>
                <w:bCs/>
                <w:color w:val="FFFFFF" w:themeColor="background1"/>
                <w:sz w:val="16"/>
                <w:szCs w:val="16"/>
              </w:rPr>
              <w:t>Fecha de Expedición</w:t>
            </w:r>
          </w:p>
        </w:tc>
        <w:tc>
          <w:tcPr>
            <w:tcW w:w="1337" w:type="dxa"/>
            <w:shd w:val="clear" w:color="auto" w:fill="1A365D"/>
            <w:tcMar>
              <w:top w:w="90" w:type="dxa"/>
              <w:left w:w="90" w:type="dxa"/>
              <w:bottom w:w="90" w:type="dxa"/>
              <w:right w:w="90" w:type="dxa"/>
            </w:tcMar>
          </w:tcPr>
          <w:p w14:paraId="5D113735" w14:textId="77777777" w:rsidR="00965DCA" w:rsidRPr="00965DCA" w:rsidRDefault="00965DCA" w:rsidP="00965DCA">
            <w:pPr>
              <w:jc w:val="both"/>
              <w:rPr>
                <w:rFonts w:ascii="Arial" w:hAnsi="Arial" w:cs="Arial"/>
                <w:b/>
                <w:bCs/>
                <w:color w:val="FFFFFF"/>
                <w:sz w:val="16"/>
                <w:szCs w:val="16"/>
              </w:rPr>
            </w:pPr>
            <w:r w:rsidRPr="00965DCA">
              <w:rPr>
                <w:rFonts w:ascii="Arial" w:hAnsi="Arial" w:cs="Arial"/>
                <w:b/>
                <w:bCs/>
                <w:color w:val="FFFFFF" w:themeColor="background1"/>
                <w:sz w:val="16"/>
                <w:szCs w:val="16"/>
              </w:rPr>
              <w:t>Folio de Matrícula (FMI)</w:t>
            </w:r>
          </w:p>
        </w:tc>
        <w:tc>
          <w:tcPr>
            <w:tcW w:w="1337" w:type="dxa"/>
            <w:shd w:val="clear" w:color="auto" w:fill="1A365D"/>
            <w:tcMar>
              <w:top w:w="90" w:type="dxa"/>
              <w:left w:w="90" w:type="dxa"/>
              <w:bottom w:w="90" w:type="dxa"/>
              <w:right w:w="90" w:type="dxa"/>
            </w:tcMar>
          </w:tcPr>
          <w:p w14:paraId="787FD7DA" w14:textId="77777777" w:rsidR="00965DCA" w:rsidRPr="00965DCA" w:rsidRDefault="00965DCA" w:rsidP="00965DCA">
            <w:pPr>
              <w:jc w:val="both"/>
              <w:rPr>
                <w:rFonts w:ascii="Arial" w:hAnsi="Arial" w:cs="Arial"/>
                <w:b/>
                <w:bCs/>
                <w:color w:val="FFFFFF"/>
                <w:sz w:val="16"/>
                <w:szCs w:val="16"/>
              </w:rPr>
            </w:pPr>
            <w:r w:rsidRPr="00965DCA">
              <w:rPr>
                <w:rFonts w:ascii="Arial" w:hAnsi="Arial" w:cs="Arial"/>
                <w:b/>
                <w:bCs/>
                <w:color w:val="FFFFFF" w:themeColor="background1"/>
                <w:sz w:val="16"/>
                <w:szCs w:val="16"/>
              </w:rPr>
              <w:t>Municipio</w:t>
            </w:r>
          </w:p>
        </w:tc>
        <w:tc>
          <w:tcPr>
            <w:tcW w:w="1337" w:type="dxa"/>
            <w:shd w:val="clear" w:color="auto" w:fill="1A365D"/>
            <w:tcMar>
              <w:top w:w="90" w:type="dxa"/>
              <w:left w:w="90" w:type="dxa"/>
              <w:bottom w:w="90" w:type="dxa"/>
              <w:right w:w="90" w:type="dxa"/>
            </w:tcMar>
          </w:tcPr>
          <w:p w14:paraId="5B88B0BE" w14:textId="77777777" w:rsidR="00965DCA" w:rsidRPr="00965DCA" w:rsidRDefault="00965DCA" w:rsidP="00965DCA">
            <w:pPr>
              <w:jc w:val="both"/>
              <w:rPr>
                <w:rFonts w:ascii="Arial" w:hAnsi="Arial" w:cs="Arial"/>
                <w:b/>
                <w:bCs/>
                <w:color w:val="FFFFFF"/>
                <w:sz w:val="16"/>
                <w:szCs w:val="16"/>
              </w:rPr>
            </w:pPr>
            <w:r w:rsidRPr="00965DCA">
              <w:rPr>
                <w:rFonts w:ascii="Arial" w:hAnsi="Arial" w:cs="Arial"/>
                <w:b/>
                <w:bCs/>
                <w:color w:val="FFFFFF" w:themeColor="background1"/>
                <w:sz w:val="16"/>
                <w:szCs w:val="16"/>
              </w:rPr>
              <w:t>Propietario según FMI</w:t>
            </w:r>
          </w:p>
        </w:tc>
        <w:tc>
          <w:tcPr>
            <w:tcW w:w="1337" w:type="dxa"/>
            <w:shd w:val="clear" w:color="auto" w:fill="1A365D"/>
            <w:tcMar>
              <w:top w:w="90" w:type="dxa"/>
              <w:left w:w="90" w:type="dxa"/>
              <w:bottom w:w="90" w:type="dxa"/>
              <w:right w:w="90" w:type="dxa"/>
            </w:tcMar>
          </w:tcPr>
          <w:p w14:paraId="25F14E41" w14:textId="77777777" w:rsidR="00965DCA" w:rsidRPr="00965DCA" w:rsidRDefault="00965DCA" w:rsidP="00965DCA">
            <w:pPr>
              <w:jc w:val="both"/>
              <w:rPr>
                <w:rFonts w:ascii="Arial" w:hAnsi="Arial" w:cs="Arial"/>
                <w:b/>
                <w:bCs/>
                <w:color w:val="FFFFFF"/>
                <w:sz w:val="16"/>
                <w:szCs w:val="16"/>
              </w:rPr>
            </w:pPr>
            <w:r w:rsidRPr="00965DCA">
              <w:rPr>
                <w:rFonts w:ascii="Arial" w:hAnsi="Arial" w:cs="Arial"/>
                <w:b/>
                <w:bCs/>
                <w:color w:val="FFFFFF" w:themeColor="background1"/>
                <w:sz w:val="16"/>
                <w:szCs w:val="16"/>
              </w:rPr>
              <w:t>Observaciones y Articulación CAR</w:t>
            </w:r>
          </w:p>
        </w:tc>
      </w:tr>
      <w:tr w:rsidR="00965DCA" w:rsidRPr="00965DCA" w14:paraId="00007239" w14:textId="77777777" w:rsidTr="0037006D">
        <w:tc>
          <w:tcPr>
            <w:tcW w:w="1337" w:type="dxa"/>
            <w:shd w:val="clear" w:color="auto" w:fill="FFFFFF" w:themeFill="background1"/>
            <w:tcMar>
              <w:top w:w="90" w:type="dxa"/>
              <w:left w:w="90" w:type="dxa"/>
              <w:bottom w:w="90" w:type="dxa"/>
              <w:right w:w="90" w:type="dxa"/>
            </w:tcMar>
          </w:tcPr>
          <w:p w14:paraId="6C5114C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w:t>
            </w:r>
          </w:p>
        </w:tc>
        <w:tc>
          <w:tcPr>
            <w:tcW w:w="1337" w:type="dxa"/>
            <w:shd w:val="clear" w:color="auto" w:fill="FFFFFF" w:themeFill="background1"/>
            <w:tcMar>
              <w:top w:w="90" w:type="dxa"/>
              <w:left w:w="90" w:type="dxa"/>
              <w:bottom w:w="90" w:type="dxa"/>
              <w:right w:w="90" w:type="dxa"/>
            </w:tcMar>
          </w:tcPr>
          <w:p w14:paraId="7D96D0BC"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19</w:t>
            </w:r>
          </w:p>
        </w:tc>
        <w:tc>
          <w:tcPr>
            <w:tcW w:w="1337" w:type="dxa"/>
            <w:shd w:val="clear" w:color="auto" w:fill="FFFFFF" w:themeFill="background1"/>
            <w:tcMar>
              <w:top w:w="90" w:type="dxa"/>
              <w:left w:w="90" w:type="dxa"/>
              <w:bottom w:w="90" w:type="dxa"/>
              <w:right w:w="90" w:type="dxa"/>
            </w:tcMar>
          </w:tcPr>
          <w:p w14:paraId="1DD2B037"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36BEE175"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176-29467</w:t>
            </w:r>
          </w:p>
        </w:tc>
        <w:tc>
          <w:tcPr>
            <w:tcW w:w="1337" w:type="dxa"/>
            <w:shd w:val="clear" w:color="auto" w:fill="FFFFFF" w:themeFill="background1"/>
            <w:tcMar>
              <w:top w:w="90" w:type="dxa"/>
              <w:left w:w="90" w:type="dxa"/>
              <w:bottom w:w="90" w:type="dxa"/>
              <w:right w:w="90" w:type="dxa"/>
            </w:tcMar>
          </w:tcPr>
          <w:p w14:paraId="53DC172D"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FFFFF" w:themeFill="background1"/>
            <w:tcMar>
              <w:top w:w="90" w:type="dxa"/>
              <w:left w:w="90" w:type="dxa"/>
              <w:bottom w:w="90" w:type="dxa"/>
              <w:right w:w="90" w:type="dxa"/>
            </w:tcMar>
          </w:tcPr>
          <w:p w14:paraId="3D71F2BD"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Concesión De Salinas</w:t>
            </w:r>
          </w:p>
        </w:tc>
        <w:tc>
          <w:tcPr>
            <w:tcW w:w="1337" w:type="dxa"/>
            <w:shd w:val="clear" w:color="auto" w:fill="FFFFFF" w:themeFill="background1"/>
            <w:tcMar>
              <w:top w:w="90" w:type="dxa"/>
              <w:left w:w="90" w:type="dxa"/>
              <w:bottom w:w="90" w:type="dxa"/>
              <w:right w:w="90" w:type="dxa"/>
            </w:tcMar>
          </w:tcPr>
          <w:p w14:paraId="577A0AE2" w14:textId="77777777" w:rsidR="00965DCA" w:rsidRPr="00965DCA" w:rsidRDefault="00965DCA" w:rsidP="00965DCA">
            <w:pPr>
              <w:jc w:val="both"/>
              <w:rPr>
                <w:rFonts w:ascii="Arial" w:hAnsi="Arial" w:cs="Arial"/>
                <w:sz w:val="16"/>
                <w:szCs w:val="16"/>
              </w:rPr>
            </w:pPr>
          </w:p>
        </w:tc>
      </w:tr>
      <w:tr w:rsidR="00965DCA" w:rsidRPr="00965DCA" w14:paraId="698F6E0D" w14:textId="77777777" w:rsidTr="0037006D">
        <w:tc>
          <w:tcPr>
            <w:tcW w:w="1337" w:type="dxa"/>
            <w:shd w:val="clear" w:color="auto" w:fill="F7FAFC"/>
            <w:tcMar>
              <w:top w:w="90" w:type="dxa"/>
              <w:left w:w="90" w:type="dxa"/>
              <w:bottom w:w="90" w:type="dxa"/>
              <w:right w:w="90" w:type="dxa"/>
            </w:tcMar>
          </w:tcPr>
          <w:p w14:paraId="2C2A9A53"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w:t>
            </w:r>
          </w:p>
        </w:tc>
        <w:tc>
          <w:tcPr>
            <w:tcW w:w="1337" w:type="dxa"/>
            <w:shd w:val="clear" w:color="auto" w:fill="F7FAFC"/>
            <w:tcMar>
              <w:top w:w="90" w:type="dxa"/>
              <w:left w:w="90" w:type="dxa"/>
              <w:bottom w:w="90" w:type="dxa"/>
              <w:right w:w="90" w:type="dxa"/>
            </w:tcMar>
          </w:tcPr>
          <w:p w14:paraId="796F1CAB"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w:t>
            </w:r>
          </w:p>
        </w:tc>
        <w:tc>
          <w:tcPr>
            <w:tcW w:w="1337" w:type="dxa"/>
            <w:shd w:val="clear" w:color="auto" w:fill="F7FAFC"/>
            <w:tcMar>
              <w:top w:w="90" w:type="dxa"/>
              <w:left w:w="90" w:type="dxa"/>
              <w:bottom w:w="90" w:type="dxa"/>
              <w:right w:w="90" w:type="dxa"/>
            </w:tcMar>
          </w:tcPr>
          <w:p w14:paraId="36ABD4CB"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7FAFC"/>
            <w:tcMar>
              <w:top w:w="90" w:type="dxa"/>
              <w:left w:w="90" w:type="dxa"/>
              <w:bottom w:w="90" w:type="dxa"/>
              <w:right w:w="90" w:type="dxa"/>
            </w:tcMar>
          </w:tcPr>
          <w:p w14:paraId="790F2F35" w14:textId="77777777" w:rsidR="00965DCA" w:rsidRPr="00965DCA" w:rsidRDefault="00965DCA" w:rsidP="00965DCA">
            <w:pPr>
              <w:jc w:val="both"/>
              <w:rPr>
                <w:rFonts w:ascii="Arial" w:hAnsi="Arial" w:cs="Arial"/>
                <w:b/>
                <w:bCs/>
                <w:sz w:val="16"/>
                <w:szCs w:val="16"/>
              </w:rPr>
            </w:pPr>
            <w:r w:rsidRPr="00965DCA">
              <w:rPr>
                <w:rFonts w:ascii="Arial" w:hAnsi="Arial" w:cs="Arial"/>
                <w:b/>
                <w:bCs/>
                <w:sz w:val="16"/>
                <w:szCs w:val="16"/>
              </w:rPr>
              <w:t>176-10342</w:t>
            </w:r>
          </w:p>
        </w:tc>
        <w:tc>
          <w:tcPr>
            <w:tcW w:w="1337" w:type="dxa"/>
            <w:shd w:val="clear" w:color="auto" w:fill="F7FAFC"/>
            <w:tcMar>
              <w:top w:w="90" w:type="dxa"/>
              <w:left w:w="90" w:type="dxa"/>
              <w:bottom w:w="90" w:type="dxa"/>
              <w:right w:w="90" w:type="dxa"/>
            </w:tcMar>
          </w:tcPr>
          <w:p w14:paraId="5692FEB0"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7FAFC"/>
            <w:tcMar>
              <w:top w:w="90" w:type="dxa"/>
              <w:left w:w="90" w:type="dxa"/>
              <w:bottom w:w="90" w:type="dxa"/>
              <w:right w:w="90" w:type="dxa"/>
            </w:tcMar>
          </w:tcPr>
          <w:p w14:paraId="60417848"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IFI- Concesión De Salinas</w:t>
            </w:r>
          </w:p>
        </w:tc>
        <w:tc>
          <w:tcPr>
            <w:tcW w:w="1337" w:type="dxa"/>
            <w:shd w:val="clear" w:color="auto" w:fill="F7FAFC"/>
            <w:tcMar>
              <w:top w:w="90" w:type="dxa"/>
              <w:left w:w="90" w:type="dxa"/>
              <w:bottom w:w="90" w:type="dxa"/>
              <w:right w:w="90" w:type="dxa"/>
            </w:tcMar>
          </w:tcPr>
          <w:p w14:paraId="4AB053E6" w14:textId="77777777" w:rsidR="00965DCA" w:rsidRPr="00965DCA" w:rsidRDefault="00965DCA" w:rsidP="00965DCA">
            <w:pPr>
              <w:jc w:val="both"/>
              <w:rPr>
                <w:rFonts w:ascii="Arial" w:hAnsi="Arial" w:cs="Arial"/>
                <w:b/>
                <w:bCs/>
                <w:sz w:val="16"/>
                <w:szCs w:val="16"/>
              </w:rPr>
            </w:pPr>
            <w:r w:rsidRPr="00965DCA">
              <w:rPr>
                <w:rFonts w:ascii="Arial" w:hAnsi="Arial" w:cs="Arial"/>
                <w:b/>
                <w:bCs/>
                <w:sz w:val="16"/>
                <w:szCs w:val="16"/>
              </w:rPr>
              <w:t xml:space="preserve">Lote La Calera - Convenio CAR 2741/2025. Prioridad de saneamiento, pago de impuesto predial, </w:t>
            </w:r>
            <w:r w:rsidRPr="00965DCA">
              <w:rPr>
                <w:rFonts w:ascii="Arial" w:hAnsi="Arial" w:cs="Arial"/>
                <w:b/>
                <w:bCs/>
                <w:sz w:val="16"/>
                <w:szCs w:val="16"/>
              </w:rPr>
              <w:lastRenderedPageBreak/>
              <w:t>registro y transferencia.</w:t>
            </w:r>
          </w:p>
        </w:tc>
      </w:tr>
      <w:tr w:rsidR="00965DCA" w:rsidRPr="00965DCA" w14:paraId="60258294" w14:textId="77777777" w:rsidTr="0037006D">
        <w:tc>
          <w:tcPr>
            <w:tcW w:w="1337" w:type="dxa"/>
            <w:shd w:val="clear" w:color="auto" w:fill="FFFFFF" w:themeFill="background1"/>
            <w:tcMar>
              <w:top w:w="90" w:type="dxa"/>
              <w:left w:w="90" w:type="dxa"/>
              <w:bottom w:w="90" w:type="dxa"/>
              <w:right w:w="90" w:type="dxa"/>
            </w:tcMar>
          </w:tcPr>
          <w:p w14:paraId="3E7DDE3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lastRenderedPageBreak/>
              <w:t>3</w:t>
            </w:r>
          </w:p>
        </w:tc>
        <w:tc>
          <w:tcPr>
            <w:tcW w:w="1337" w:type="dxa"/>
            <w:shd w:val="clear" w:color="auto" w:fill="FFFFFF" w:themeFill="background1"/>
            <w:tcMar>
              <w:top w:w="90" w:type="dxa"/>
              <w:left w:w="90" w:type="dxa"/>
              <w:bottom w:w="90" w:type="dxa"/>
              <w:right w:w="90" w:type="dxa"/>
            </w:tcMar>
          </w:tcPr>
          <w:p w14:paraId="7DC29042"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15</w:t>
            </w:r>
          </w:p>
        </w:tc>
        <w:tc>
          <w:tcPr>
            <w:tcW w:w="1337" w:type="dxa"/>
            <w:shd w:val="clear" w:color="auto" w:fill="FFFFFF" w:themeFill="background1"/>
            <w:tcMar>
              <w:top w:w="90" w:type="dxa"/>
              <w:left w:w="90" w:type="dxa"/>
              <w:bottom w:w="90" w:type="dxa"/>
              <w:right w:w="90" w:type="dxa"/>
            </w:tcMar>
          </w:tcPr>
          <w:p w14:paraId="2C254198"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2C522363"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176-19124</w:t>
            </w:r>
          </w:p>
        </w:tc>
        <w:tc>
          <w:tcPr>
            <w:tcW w:w="1337" w:type="dxa"/>
            <w:shd w:val="clear" w:color="auto" w:fill="FFFFFF" w:themeFill="background1"/>
            <w:tcMar>
              <w:top w:w="90" w:type="dxa"/>
              <w:left w:w="90" w:type="dxa"/>
              <w:bottom w:w="90" w:type="dxa"/>
              <w:right w:w="90" w:type="dxa"/>
            </w:tcMar>
          </w:tcPr>
          <w:p w14:paraId="66244529"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FFFFF" w:themeFill="background1"/>
            <w:tcMar>
              <w:top w:w="90" w:type="dxa"/>
              <w:left w:w="90" w:type="dxa"/>
              <w:bottom w:w="90" w:type="dxa"/>
              <w:right w:w="90" w:type="dxa"/>
            </w:tcMar>
          </w:tcPr>
          <w:p w14:paraId="187E1894"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IFI Concesión Salinas</w:t>
            </w:r>
          </w:p>
        </w:tc>
        <w:tc>
          <w:tcPr>
            <w:tcW w:w="1337" w:type="dxa"/>
            <w:shd w:val="clear" w:color="auto" w:fill="FFFFFF" w:themeFill="background1"/>
            <w:tcMar>
              <w:top w:w="90" w:type="dxa"/>
              <w:left w:w="90" w:type="dxa"/>
              <w:bottom w:w="90" w:type="dxa"/>
              <w:right w:w="90" w:type="dxa"/>
            </w:tcMar>
          </w:tcPr>
          <w:p w14:paraId="3881A1B6" w14:textId="77777777" w:rsidR="00965DCA" w:rsidRPr="00965DCA" w:rsidRDefault="00965DCA" w:rsidP="00965DCA">
            <w:pPr>
              <w:jc w:val="both"/>
              <w:rPr>
                <w:rFonts w:ascii="Arial" w:hAnsi="Arial" w:cs="Arial"/>
                <w:sz w:val="16"/>
                <w:szCs w:val="16"/>
              </w:rPr>
            </w:pPr>
          </w:p>
        </w:tc>
      </w:tr>
      <w:tr w:rsidR="00965DCA" w:rsidRPr="00965DCA" w14:paraId="5E9239AB" w14:textId="77777777" w:rsidTr="0037006D">
        <w:tc>
          <w:tcPr>
            <w:tcW w:w="1337" w:type="dxa"/>
            <w:shd w:val="clear" w:color="auto" w:fill="F7FAFC"/>
            <w:tcMar>
              <w:top w:w="90" w:type="dxa"/>
              <w:left w:w="90" w:type="dxa"/>
              <w:bottom w:w="90" w:type="dxa"/>
              <w:right w:w="90" w:type="dxa"/>
            </w:tcMar>
          </w:tcPr>
          <w:p w14:paraId="1A0F6233"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4</w:t>
            </w:r>
          </w:p>
        </w:tc>
        <w:tc>
          <w:tcPr>
            <w:tcW w:w="1337" w:type="dxa"/>
            <w:shd w:val="clear" w:color="auto" w:fill="F7FAFC"/>
            <w:tcMar>
              <w:top w:w="90" w:type="dxa"/>
              <w:left w:w="90" w:type="dxa"/>
              <w:bottom w:w="90" w:type="dxa"/>
              <w:right w:w="90" w:type="dxa"/>
            </w:tcMar>
          </w:tcPr>
          <w:p w14:paraId="5B3710B9"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14</w:t>
            </w:r>
          </w:p>
        </w:tc>
        <w:tc>
          <w:tcPr>
            <w:tcW w:w="1337" w:type="dxa"/>
            <w:shd w:val="clear" w:color="auto" w:fill="F7FAFC"/>
            <w:tcMar>
              <w:top w:w="90" w:type="dxa"/>
              <w:left w:w="90" w:type="dxa"/>
              <w:bottom w:w="90" w:type="dxa"/>
              <w:right w:w="90" w:type="dxa"/>
            </w:tcMar>
          </w:tcPr>
          <w:p w14:paraId="6A896D02"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7FAFC"/>
            <w:tcMar>
              <w:top w:w="90" w:type="dxa"/>
              <w:left w:w="90" w:type="dxa"/>
              <w:bottom w:w="90" w:type="dxa"/>
              <w:right w:w="90" w:type="dxa"/>
            </w:tcMar>
          </w:tcPr>
          <w:p w14:paraId="3527E3D5"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176-19801</w:t>
            </w:r>
          </w:p>
        </w:tc>
        <w:tc>
          <w:tcPr>
            <w:tcW w:w="1337" w:type="dxa"/>
            <w:shd w:val="clear" w:color="auto" w:fill="F7FAFC"/>
            <w:tcMar>
              <w:top w:w="90" w:type="dxa"/>
              <w:left w:w="90" w:type="dxa"/>
              <w:bottom w:w="90" w:type="dxa"/>
              <w:right w:w="90" w:type="dxa"/>
            </w:tcMar>
          </w:tcPr>
          <w:p w14:paraId="565C30C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7FAFC"/>
            <w:tcMar>
              <w:top w:w="90" w:type="dxa"/>
              <w:left w:w="90" w:type="dxa"/>
              <w:bottom w:w="90" w:type="dxa"/>
              <w:right w:w="90" w:type="dxa"/>
            </w:tcMar>
          </w:tcPr>
          <w:p w14:paraId="29C735CE"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IFI Concesión Salinas</w:t>
            </w:r>
          </w:p>
        </w:tc>
        <w:tc>
          <w:tcPr>
            <w:tcW w:w="1337" w:type="dxa"/>
            <w:shd w:val="clear" w:color="auto" w:fill="F7FAFC"/>
            <w:tcMar>
              <w:top w:w="90" w:type="dxa"/>
              <w:left w:w="90" w:type="dxa"/>
              <w:bottom w:w="90" w:type="dxa"/>
              <w:right w:w="90" w:type="dxa"/>
            </w:tcMar>
          </w:tcPr>
          <w:p w14:paraId="5A67E392" w14:textId="77777777" w:rsidR="00965DCA" w:rsidRPr="00965DCA" w:rsidRDefault="00965DCA" w:rsidP="00965DCA">
            <w:pPr>
              <w:jc w:val="both"/>
              <w:rPr>
                <w:rFonts w:ascii="Arial" w:hAnsi="Arial" w:cs="Arial"/>
                <w:sz w:val="16"/>
                <w:szCs w:val="16"/>
              </w:rPr>
            </w:pPr>
          </w:p>
        </w:tc>
      </w:tr>
      <w:tr w:rsidR="00965DCA" w:rsidRPr="00965DCA" w14:paraId="3E0855E7" w14:textId="77777777" w:rsidTr="0037006D">
        <w:tc>
          <w:tcPr>
            <w:tcW w:w="1337" w:type="dxa"/>
            <w:shd w:val="clear" w:color="auto" w:fill="FFFFFF" w:themeFill="background1"/>
            <w:tcMar>
              <w:top w:w="90" w:type="dxa"/>
              <w:left w:w="90" w:type="dxa"/>
              <w:bottom w:w="90" w:type="dxa"/>
              <w:right w:w="90" w:type="dxa"/>
            </w:tcMar>
          </w:tcPr>
          <w:p w14:paraId="2ABB48F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5</w:t>
            </w:r>
          </w:p>
        </w:tc>
        <w:tc>
          <w:tcPr>
            <w:tcW w:w="1337" w:type="dxa"/>
            <w:shd w:val="clear" w:color="auto" w:fill="FFFFFF" w:themeFill="background1"/>
            <w:tcMar>
              <w:top w:w="90" w:type="dxa"/>
              <w:left w:w="90" w:type="dxa"/>
              <w:bottom w:w="90" w:type="dxa"/>
              <w:right w:w="90" w:type="dxa"/>
            </w:tcMar>
          </w:tcPr>
          <w:p w14:paraId="6DEAD829"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24</w:t>
            </w:r>
          </w:p>
        </w:tc>
        <w:tc>
          <w:tcPr>
            <w:tcW w:w="1337" w:type="dxa"/>
            <w:shd w:val="clear" w:color="auto" w:fill="FFFFFF" w:themeFill="background1"/>
            <w:tcMar>
              <w:top w:w="90" w:type="dxa"/>
              <w:left w:w="90" w:type="dxa"/>
              <w:bottom w:w="90" w:type="dxa"/>
              <w:right w:w="90" w:type="dxa"/>
            </w:tcMar>
          </w:tcPr>
          <w:p w14:paraId="65739215"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1DB80CC4"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176-22426</w:t>
            </w:r>
          </w:p>
        </w:tc>
        <w:tc>
          <w:tcPr>
            <w:tcW w:w="1337" w:type="dxa"/>
            <w:shd w:val="clear" w:color="auto" w:fill="FFFFFF" w:themeFill="background1"/>
            <w:tcMar>
              <w:top w:w="90" w:type="dxa"/>
              <w:left w:w="90" w:type="dxa"/>
              <w:bottom w:w="90" w:type="dxa"/>
              <w:right w:w="90" w:type="dxa"/>
            </w:tcMar>
          </w:tcPr>
          <w:p w14:paraId="38CE8C93"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FFFFF" w:themeFill="background1"/>
            <w:tcMar>
              <w:top w:w="90" w:type="dxa"/>
              <w:left w:w="90" w:type="dxa"/>
              <w:bottom w:w="90" w:type="dxa"/>
              <w:right w:w="90" w:type="dxa"/>
            </w:tcMar>
          </w:tcPr>
          <w:p w14:paraId="66F3C748"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IFI Concesión Salinas</w:t>
            </w:r>
          </w:p>
        </w:tc>
        <w:tc>
          <w:tcPr>
            <w:tcW w:w="1337" w:type="dxa"/>
            <w:shd w:val="clear" w:color="auto" w:fill="FFFFFF" w:themeFill="background1"/>
            <w:tcMar>
              <w:top w:w="90" w:type="dxa"/>
              <w:left w:w="90" w:type="dxa"/>
              <w:bottom w:w="90" w:type="dxa"/>
              <w:right w:w="90" w:type="dxa"/>
            </w:tcMar>
          </w:tcPr>
          <w:p w14:paraId="3130F3DE" w14:textId="77777777" w:rsidR="00965DCA" w:rsidRPr="00965DCA" w:rsidRDefault="00965DCA" w:rsidP="00965DCA">
            <w:pPr>
              <w:jc w:val="both"/>
              <w:rPr>
                <w:rFonts w:ascii="Arial" w:hAnsi="Arial" w:cs="Arial"/>
                <w:sz w:val="16"/>
                <w:szCs w:val="16"/>
              </w:rPr>
            </w:pPr>
          </w:p>
        </w:tc>
      </w:tr>
      <w:tr w:rsidR="00965DCA" w:rsidRPr="00965DCA" w14:paraId="2A3AAA4B" w14:textId="77777777" w:rsidTr="0037006D">
        <w:tc>
          <w:tcPr>
            <w:tcW w:w="1337" w:type="dxa"/>
            <w:shd w:val="clear" w:color="auto" w:fill="F7FAFC"/>
            <w:tcMar>
              <w:top w:w="90" w:type="dxa"/>
              <w:left w:w="90" w:type="dxa"/>
              <w:bottom w:w="90" w:type="dxa"/>
              <w:right w:w="90" w:type="dxa"/>
            </w:tcMar>
          </w:tcPr>
          <w:p w14:paraId="60D458FB"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6</w:t>
            </w:r>
          </w:p>
        </w:tc>
        <w:tc>
          <w:tcPr>
            <w:tcW w:w="1337" w:type="dxa"/>
            <w:shd w:val="clear" w:color="auto" w:fill="F7FAFC"/>
            <w:tcMar>
              <w:top w:w="90" w:type="dxa"/>
              <w:left w:w="90" w:type="dxa"/>
              <w:bottom w:w="90" w:type="dxa"/>
              <w:right w:w="90" w:type="dxa"/>
            </w:tcMar>
          </w:tcPr>
          <w:p w14:paraId="4D667BC3"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23</w:t>
            </w:r>
          </w:p>
        </w:tc>
        <w:tc>
          <w:tcPr>
            <w:tcW w:w="1337" w:type="dxa"/>
            <w:shd w:val="clear" w:color="auto" w:fill="F7FAFC"/>
            <w:tcMar>
              <w:top w:w="90" w:type="dxa"/>
              <w:left w:w="90" w:type="dxa"/>
              <w:bottom w:w="90" w:type="dxa"/>
              <w:right w:w="90" w:type="dxa"/>
            </w:tcMar>
          </w:tcPr>
          <w:p w14:paraId="6FA6B4DD"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7FAFC"/>
            <w:tcMar>
              <w:top w:w="90" w:type="dxa"/>
              <w:left w:w="90" w:type="dxa"/>
              <w:bottom w:w="90" w:type="dxa"/>
              <w:right w:w="90" w:type="dxa"/>
            </w:tcMar>
          </w:tcPr>
          <w:p w14:paraId="697577FF"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176-22588</w:t>
            </w:r>
          </w:p>
        </w:tc>
        <w:tc>
          <w:tcPr>
            <w:tcW w:w="1337" w:type="dxa"/>
            <w:shd w:val="clear" w:color="auto" w:fill="F7FAFC"/>
            <w:tcMar>
              <w:top w:w="90" w:type="dxa"/>
              <w:left w:w="90" w:type="dxa"/>
              <w:bottom w:w="90" w:type="dxa"/>
              <w:right w:w="90" w:type="dxa"/>
            </w:tcMar>
          </w:tcPr>
          <w:p w14:paraId="5A895943"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7FAFC"/>
            <w:tcMar>
              <w:top w:w="90" w:type="dxa"/>
              <w:left w:w="90" w:type="dxa"/>
              <w:bottom w:w="90" w:type="dxa"/>
              <w:right w:w="90" w:type="dxa"/>
            </w:tcMar>
          </w:tcPr>
          <w:p w14:paraId="62324132"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IFI Concesión Salinas</w:t>
            </w:r>
          </w:p>
        </w:tc>
        <w:tc>
          <w:tcPr>
            <w:tcW w:w="1337" w:type="dxa"/>
            <w:shd w:val="clear" w:color="auto" w:fill="F7FAFC"/>
            <w:tcMar>
              <w:top w:w="90" w:type="dxa"/>
              <w:left w:w="90" w:type="dxa"/>
              <w:bottom w:w="90" w:type="dxa"/>
              <w:right w:w="90" w:type="dxa"/>
            </w:tcMar>
          </w:tcPr>
          <w:p w14:paraId="3CFBFD8C" w14:textId="77777777" w:rsidR="00965DCA" w:rsidRPr="00965DCA" w:rsidRDefault="00965DCA" w:rsidP="00965DCA">
            <w:pPr>
              <w:jc w:val="both"/>
              <w:rPr>
                <w:rFonts w:ascii="Arial" w:hAnsi="Arial" w:cs="Arial"/>
                <w:sz w:val="16"/>
                <w:szCs w:val="16"/>
              </w:rPr>
            </w:pPr>
          </w:p>
        </w:tc>
      </w:tr>
      <w:tr w:rsidR="00965DCA" w:rsidRPr="00965DCA" w14:paraId="07499C5D" w14:textId="77777777" w:rsidTr="0037006D">
        <w:tc>
          <w:tcPr>
            <w:tcW w:w="1337" w:type="dxa"/>
            <w:shd w:val="clear" w:color="auto" w:fill="FFFFFF" w:themeFill="background1"/>
            <w:tcMar>
              <w:top w:w="90" w:type="dxa"/>
              <w:left w:w="90" w:type="dxa"/>
              <w:bottom w:w="90" w:type="dxa"/>
              <w:right w:w="90" w:type="dxa"/>
            </w:tcMar>
          </w:tcPr>
          <w:p w14:paraId="27A3CF32"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7</w:t>
            </w:r>
          </w:p>
        </w:tc>
        <w:tc>
          <w:tcPr>
            <w:tcW w:w="1337" w:type="dxa"/>
            <w:shd w:val="clear" w:color="auto" w:fill="FFFFFF" w:themeFill="background1"/>
            <w:tcMar>
              <w:top w:w="90" w:type="dxa"/>
              <w:left w:w="90" w:type="dxa"/>
              <w:bottom w:w="90" w:type="dxa"/>
              <w:right w:w="90" w:type="dxa"/>
            </w:tcMar>
          </w:tcPr>
          <w:p w14:paraId="525083BC"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11</w:t>
            </w:r>
          </w:p>
        </w:tc>
        <w:tc>
          <w:tcPr>
            <w:tcW w:w="1337" w:type="dxa"/>
            <w:shd w:val="clear" w:color="auto" w:fill="FFFFFF" w:themeFill="background1"/>
            <w:tcMar>
              <w:top w:w="90" w:type="dxa"/>
              <w:left w:w="90" w:type="dxa"/>
              <w:bottom w:w="90" w:type="dxa"/>
              <w:right w:w="90" w:type="dxa"/>
            </w:tcMar>
          </w:tcPr>
          <w:p w14:paraId="75DAA394"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5FC24E43"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176-22696</w:t>
            </w:r>
          </w:p>
        </w:tc>
        <w:tc>
          <w:tcPr>
            <w:tcW w:w="1337" w:type="dxa"/>
            <w:shd w:val="clear" w:color="auto" w:fill="FFFFFF" w:themeFill="background1"/>
            <w:tcMar>
              <w:top w:w="90" w:type="dxa"/>
              <w:left w:w="90" w:type="dxa"/>
              <w:bottom w:w="90" w:type="dxa"/>
              <w:right w:w="90" w:type="dxa"/>
            </w:tcMar>
          </w:tcPr>
          <w:p w14:paraId="3C4156F4"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FFFFF" w:themeFill="background1"/>
            <w:tcMar>
              <w:top w:w="90" w:type="dxa"/>
              <w:left w:w="90" w:type="dxa"/>
              <w:bottom w:w="90" w:type="dxa"/>
              <w:right w:w="90" w:type="dxa"/>
            </w:tcMar>
          </w:tcPr>
          <w:p w14:paraId="31B196B9"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La Nación -Concesión De Salinas, Administrada Por El IFI</w:t>
            </w:r>
          </w:p>
        </w:tc>
        <w:tc>
          <w:tcPr>
            <w:tcW w:w="1337" w:type="dxa"/>
            <w:shd w:val="clear" w:color="auto" w:fill="FFFFFF" w:themeFill="background1"/>
            <w:tcMar>
              <w:top w:w="90" w:type="dxa"/>
              <w:left w:w="90" w:type="dxa"/>
              <w:bottom w:w="90" w:type="dxa"/>
              <w:right w:w="90" w:type="dxa"/>
            </w:tcMar>
          </w:tcPr>
          <w:p w14:paraId="04F00702" w14:textId="77777777" w:rsidR="00965DCA" w:rsidRPr="00965DCA" w:rsidRDefault="00965DCA" w:rsidP="00965DCA">
            <w:pPr>
              <w:jc w:val="both"/>
              <w:rPr>
                <w:rFonts w:ascii="Arial" w:hAnsi="Arial" w:cs="Arial"/>
                <w:sz w:val="16"/>
                <w:szCs w:val="16"/>
              </w:rPr>
            </w:pPr>
          </w:p>
        </w:tc>
      </w:tr>
      <w:tr w:rsidR="00965DCA" w:rsidRPr="00965DCA" w14:paraId="7B3329DE" w14:textId="77777777" w:rsidTr="0037006D">
        <w:tc>
          <w:tcPr>
            <w:tcW w:w="1337" w:type="dxa"/>
            <w:shd w:val="clear" w:color="auto" w:fill="F7FAFC"/>
            <w:tcMar>
              <w:top w:w="90" w:type="dxa"/>
              <w:left w:w="90" w:type="dxa"/>
              <w:bottom w:w="90" w:type="dxa"/>
              <w:right w:w="90" w:type="dxa"/>
            </w:tcMar>
          </w:tcPr>
          <w:p w14:paraId="2E005DF3"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8</w:t>
            </w:r>
          </w:p>
        </w:tc>
        <w:tc>
          <w:tcPr>
            <w:tcW w:w="1337" w:type="dxa"/>
            <w:shd w:val="clear" w:color="auto" w:fill="F7FAFC"/>
            <w:tcMar>
              <w:top w:w="90" w:type="dxa"/>
              <w:left w:w="90" w:type="dxa"/>
              <w:bottom w:w="90" w:type="dxa"/>
              <w:right w:w="90" w:type="dxa"/>
            </w:tcMar>
          </w:tcPr>
          <w:p w14:paraId="5F20F5A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10</w:t>
            </w:r>
          </w:p>
        </w:tc>
        <w:tc>
          <w:tcPr>
            <w:tcW w:w="1337" w:type="dxa"/>
            <w:shd w:val="clear" w:color="auto" w:fill="F7FAFC"/>
            <w:tcMar>
              <w:top w:w="90" w:type="dxa"/>
              <w:left w:w="90" w:type="dxa"/>
              <w:bottom w:w="90" w:type="dxa"/>
              <w:right w:w="90" w:type="dxa"/>
            </w:tcMar>
          </w:tcPr>
          <w:p w14:paraId="0E7D520D"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7FAFC"/>
            <w:tcMar>
              <w:top w:w="90" w:type="dxa"/>
              <w:left w:w="90" w:type="dxa"/>
              <w:bottom w:w="90" w:type="dxa"/>
              <w:right w:w="90" w:type="dxa"/>
            </w:tcMar>
          </w:tcPr>
          <w:p w14:paraId="78C187A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176-23181</w:t>
            </w:r>
          </w:p>
        </w:tc>
        <w:tc>
          <w:tcPr>
            <w:tcW w:w="1337" w:type="dxa"/>
            <w:shd w:val="clear" w:color="auto" w:fill="F7FAFC"/>
            <w:tcMar>
              <w:top w:w="90" w:type="dxa"/>
              <w:left w:w="90" w:type="dxa"/>
              <w:bottom w:w="90" w:type="dxa"/>
              <w:right w:w="90" w:type="dxa"/>
            </w:tcMar>
          </w:tcPr>
          <w:p w14:paraId="337DDDB9"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7FAFC"/>
            <w:tcMar>
              <w:top w:w="90" w:type="dxa"/>
              <w:left w:w="90" w:type="dxa"/>
              <w:bottom w:w="90" w:type="dxa"/>
              <w:right w:w="90" w:type="dxa"/>
            </w:tcMar>
          </w:tcPr>
          <w:p w14:paraId="7EAFC3C4"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IFI Concesión Salinas</w:t>
            </w:r>
          </w:p>
        </w:tc>
        <w:tc>
          <w:tcPr>
            <w:tcW w:w="1337" w:type="dxa"/>
            <w:shd w:val="clear" w:color="auto" w:fill="F7FAFC"/>
            <w:tcMar>
              <w:top w:w="90" w:type="dxa"/>
              <w:left w:w="90" w:type="dxa"/>
              <w:bottom w:w="90" w:type="dxa"/>
              <w:right w:w="90" w:type="dxa"/>
            </w:tcMar>
          </w:tcPr>
          <w:p w14:paraId="37F633EF" w14:textId="77777777" w:rsidR="00965DCA" w:rsidRPr="00965DCA" w:rsidRDefault="00965DCA" w:rsidP="00965DCA">
            <w:pPr>
              <w:jc w:val="both"/>
              <w:rPr>
                <w:rFonts w:ascii="Arial" w:hAnsi="Arial" w:cs="Arial"/>
                <w:sz w:val="16"/>
                <w:szCs w:val="16"/>
              </w:rPr>
            </w:pPr>
          </w:p>
        </w:tc>
      </w:tr>
      <w:tr w:rsidR="00965DCA" w:rsidRPr="00965DCA" w14:paraId="3141639A" w14:textId="77777777" w:rsidTr="0037006D">
        <w:tc>
          <w:tcPr>
            <w:tcW w:w="1337" w:type="dxa"/>
            <w:shd w:val="clear" w:color="auto" w:fill="FFFFFF" w:themeFill="background1"/>
            <w:tcMar>
              <w:top w:w="90" w:type="dxa"/>
              <w:left w:w="90" w:type="dxa"/>
              <w:bottom w:w="90" w:type="dxa"/>
              <w:right w:w="90" w:type="dxa"/>
            </w:tcMar>
          </w:tcPr>
          <w:p w14:paraId="74DA25E0"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9</w:t>
            </w:r>
          </w:p>
        </w:tc>
        <w:tc>
          <w:tcPr>
            <w:tcW w:w="1337" w:type="dxa"/>
            <w:shd w:val="clear" w:color="auto" w:fill="FFFFFF" w:themeFill="background1"/>
            <w:tcMar>
              <w:top w:w="90" w:type="dxa"/>
              <w:left w:w="90" w:type="dxa"/>
              <w:bottom w:w="90" w:type="dxa"/>
              <w:right w:w="90" w:type="dxa"/>
            </w:tcMar>
          </w:tcPr>
          <w:p w14:paraId="6FEC08DE"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22</w:t>
            </w:r>
          </w:p>
        </w:tc>
        <w:tc>
          <w:tcPr>
            <w:tcW w:w="1337" w:type="dxa"/>
            <w:shd w:val="clear" w:color="auto" w:fill="FFFFFF" w:themeFill="background1"/>
            <w:tcMar>
              <w:top w:w="90" w:type="dxa"/>
              <w:left w:w="90" w:type="dxa"/>
              <w:bottom w:w="90" w:type="dxa"/>
              <w:right w:w="90" w:type="dxa"/>
            </w:tcMar>
          </w:tcPr>
          <w:p w14:paraId="4D1D2EA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739375D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176-23542</w:t>
            </w:r>
          </w:p>
        </w:tc>
        <w:tc>
          <w:tcPr>
            <w:tcW w:w="1337" w:type="dxa"/>
            <w:shd w:val="clear" w:color="auto" w:fill="FFFFFF" w:themeFill="background1"/>
            <w:tcMar>
              <w:top w:w="90" w:type="dxa"/>
              <w:left w:w="90" w:type="dxa"/>
              <w:bottom w:w="90" w:type="dxa"/>
              <w:right w:w="90" w:type="dxa"/>
            </w:tcMar>
          </w:tcPr>
          <w:p w14:paraId="7B1C8348"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FFFFF" w:themeFill="background1"/>
            <w:tcMar>
              <w:top w:w="90" w:type="dxa"/>
              <w:left w:w="90" w:type="dxa"/>
              <w:bottom w:w="90" w:type="dxa"/>
              <w:right w:w="90" w:type="dxa"/>
            </w:tcMar>
          </w:tcPr>
          <w:p w14:paraId="0FE55AC5"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 xml:space="preserve">Instituto De Fomento Industrial- IFI </w:t>
            </w:r>
            <w:r w:rsidRPr="00965DCA">
              <w:rPr>
                <w:rFonts w:ascii="Arial" w:hAnsi="Arial" w:cs="Arial"/>
                <w:sz w:val="16"/>
                <w:szCs w:val="16"/>
              </w:rPr>
              <w:lastRenderedPageBreak/>
              <w:t>Concesión Salinas</w:t>
            </w:r>
          </w:p>
        </w:tc>
        <w:tc>
          <w:tcPr>
            <w:tcW w:w="1337" w:type="dxa"/>
            <w:shd w:val="clear" w:color="auto" w:fill="FFFFFF" w:themeFill="background1"/>
            <w:tcMar>
              <w:top w:w="90" w:type="dxa"/>
              <w:left w:w="90" w:type="dxa"/>
              <w:bottom w:w="90" w:type="dxa"/>
              <w:right w:w="90" w:type="dxa"/>
            </w:tcMar>
          </w:tcPr>
          <w:p w14:paraId="6CD7E38C" w14:textId="77777777" w:rsidR="00965DCA" w:rsidRPr="00965DCA" w:rsidRDefault="00965DCA" w:rsidP="00965DCA">
            <w:pPr>
              <w:jc w:val="both"/>
              <w:rPr>
                <w:rFonts w:ascii="Arial" w:hAnsi="Arial" w:cs="Arial"/>
                <w:sz w:val="16"/>
                <w:szCs w:val="16"/>
              </w:rPr>
            </w:pPr>
          </w:p>
        </w:tc>
      </w:tr>
      <w:tr w:rsidR="00965DCA" w:rsidRPr="00965DCA" w14:paraId="5E5D8564" w14:textId="77777777" w:rsidTr="0037006D">
        <w:tc>
          <w:tcPr>
            <w:tcW w:w="1337" w:type="dxa"/>
            <w:shd w:val="clear" w:color="auto" w:fill="F7FAFC"/>
            <w:tcMar>
              <w:top w:w="90" w:type="dxa"/>
              <w:left w:w="90" w:type="dxa"/>
              <w:bottom w:w="90" w:type="dxa"/>
              <w:right w:w="90" w:type="dxa"/>
            </w:tcMar>
          </w:tcPr>
          <w:p w14:paraId="3496DA98"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10</w:t>
            </w:r>
          </w:p>
        </w:tc>
        <w:tc>
          <w:tcPr>
            <w:tcW w:w="1337" w:type="dxa"/>
            <w:shd w:val="clear" w:color="auto" w:fill="F7FAFC"/>
            <w:tcMar>
              <w:top w:w="90" w:type="dxa"/>
              <w:left w:w="90" w:type="dxa"/>
              <w:bottom w:w="90" w:type="dxa"/>
              <w:right w:w="90" w:type="dxa"/>
            </w:tcMar>
          </w:tcPr>
          <w:p w14:paraId="1A4CD648"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w:t>
            </w:r>
          </w:p>
        </w:tc>
        <w:tc>
          <w:tcPr>
            <w:tcW w:w="1337" w:type="dxa"/>
            <w:shd w:val="clear" w:color="auto" w:fill="F7FAFC"/>
            <w:tcMar>
              <w:top w:w="90" w:type="dxa"/>
              <w:left w:w="90" w:type="dxa"/>
              <w:bottom w:w="90" w:type="dxa"/>
              <w:right w:w="90" w:type="dxa"/>
            </w:tcMar>
          </w:tcPr>
          <w:p w14:paraId="10C55290"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7FAFC"/>
            <w:tcMar>
              <w:top w:w="90" w:type="dxa"/>
              <w:left w:w="90" w:type="dxa"/>
              <w:bottom w:w="90" w:type="dxa"/>
              <w:right w:w="90" w:type="dxa"/>
            </w:tcMar>
          </w:tcPr>
          <w:p w14:paraId="7CFD1FF2"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176-23655</w:t>
            </w:r>
          </w:p>
        </w:tc>
        <w:tc>
          <w:tcPr>
            <w:tcW w:w="1337" w:type="dxa"/>
            <w:shd w:val="clear" w:color="auto" w:fill="F7FAFC"/>
            <w:tcMar>
              <w:top w:w="90" w:type="dxa"/>
              <w:left w:w="90" w:type="dxa"/>
              <w:bottom w:w="90" w:type="dxa"/>
              <w:right w:w="90" w:type="dxa"/>
            </w:tcMar>
          </w:tcPr>
          <w:p w14:paraId="15BF8B9D"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7FAFC"/>
            <w:tcMar>
              <w:top w:w="90" w:type="dxa"/>
              <w:left w:w="90" w:type="dxa"/>
              <w:bottom w:w="90" w:type="dxa"/>
              <w:right w:w="90" w:type="dxa"/>
            </w:tcMar>
          </w:tcPr>
          <w:p w14:paraId="705BD3E2"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IFI Concesión Salinas</w:t>
            </w:r>
          </w:p>
        </w:tc>
        <w:tc>
          <w:tcPr>
            <w:tcW w:w="1337" w:type="dxa"/>
            <w:shd w:val="clear" w:color="auto" w:fill="F7FAFC"/>
            <w:tcMar>
              <w:top w:w="90" w:type="dxa"/>
              <w:left w:w="90" w:type="dxa"/>
              <w:bottom w:w="90" w:type="dxa"/>
              <w:right w:w="90" w:type="dxa"/>
            </w:tcMar>
          </w:tcPr>
          <w:p w14:paraId="0DDC7ABE" w14:textId="77777777" w:rsidR="00965DCA" w:rsidRPr="00965DCA" w:rsidRDefault="00965DCA" w:rsidP="00965DCA">
            <w:pPr>
              <w:jc w:val="both"/>
              <w:rPr>
                <w:rFonts w:ascii="Arial" w:hAnsi="Arial" w:cs="Arial"/>
                <w:sz w:val="16"/>
                <w:szCs w:val="16"/>
              </w:rPr>
            </w:pPr>
          </w:p>
        </w:tc>
      </w:tr>
      <w:tr w:rsidR="00965DCA" w:rsidRPr="00965DCA" w14:paraId="6575E853" w14:textId="77777777" w:rsidTr="0037006D">
        <w:tc>
          <w:tcPr>
            <w:tcW w:w="1337" w:type="dxa"/>
            <w:shd w:val="clear" w:color="auto" w:fill="FFFFFF" w:themeFill="background1"/>
            <w:tcMar>
              <w:top w:w="90" w:type="dxa"/>
              <w:left w:w="90" w:type="dxa"/>
              <w:bottom w:w="90" w:type="dxa"/>
              <w:right w:w="90" w:type="dxa"/>
            </w:tcMar>
          </w:tcPr>
          <w:p w14:paraId="44D33A4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11</w:t>
            </w:r>
          </w:p>
        </w:tc>
        <w:tc>
          <w:tcPr>
            <w:tcW w:w="1337" w:type="dxa"/>
            <w:shd w:val="clear" w:color="auto" w:fill="FFFFFF" w:themeFill="background1"/>
            <w:tcMar>
              <w:top w:w="90" w:type="dxa"/>
              <w:left w:w="90" w:type="dxa"/>
              <w:bottom w:w="90" w:type="dxa"/>
              <w:right w:w="90" w:type="dxa"/>
            </w:tcMar>
          </w:tcPr>
          <w:p w14:paraId="766F6D50"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w:t>
            </w:r>
          </w:p>
        </w:tc>
        <w:tc>
          <w:tcPr>
            <w:tcW w:w="1337" w:type="dxa"/>
            <w:shd w:val="clear" w:color="auto" w:fill="FFFFFF" w:themeFill="background1"/>
            <w:tcMar>
              <w:top w:w="90" w:type="dxa"/>
              <w:left w:w="90" w:type="dxa"/>
              <w:bottom w:w="90" w:type="dxa"/>
              <w:right w:w="90" w:type="dxa"/>
            </w:tcMar>
          </w:tcPr>
          <w:p w14:paraId="2BC186C2"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3A5B7B25"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176-23657</w:t>
            </w:r>
          </w:p>
        </w:tc>
        <w:tc>
          <w:tcPr>
            <w:tcW w:w="1337" w:type="dxa"/>
            <w:shd w:val="clear" w:color="auto" w:fill="FFFFFF" w:themeFill="background1"/>
            <w:tcMar>
              <w:top w:w="90" w:type="dxa"/>
              <w:left w:w="90" w:type="dxa"/>
              <w:bottom w:w="90" w:type="dxa"/>
              <w:right w:w="90" w:type="dxa"/>
            </w:tcMar>
          </w:tcPr>
          <w:p w14:paraId="62901CE5"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FFFFF" w:themeFill="background1"/>
            <w:tcMar>
              <w:top w:w="90" w:type="dxa"/>
              <w:left w:w="90" w:type="dxa"/>
              <w:bottom w:w="90" w:type="dxa"/>
              <w:right w:w="90" w:type="dxa"/>
            </w:tcMar>
          </w:tcPr>
          <w:p w14:paraId="4DB170F5"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IFI Concesión Salinas</w:t>
            </w:r>
          </w:p>
        </w:tc>
        <w:tc>
          <w:tcPr>
            <w:tcW w:w="1337" w:type="dxa"/>
            <w:shd w:val="clear" w:color="auto" w:fill="FFFFFF" w:themeFill="background1"/>
            <w:tcMar>
              <w:top w:w="90" w:type="dxa"/>
              <w:left w:w="90" w:type="dxa"/>
              <w:bottom w:w="90" w:type="dxa"/>
              <w:right w:w="90" w:type="dxa"/>
            </w:tcMar>
          </w:tcPr>
          <w:p w14:paraId="2B4732D5" w14:textId="77777777" w:rsidR="00965DCA" w:rsidRPr="00965DCA" w:rsidRDefault="00965DCA" w:rsidP="00965DCA">
            <w:pPr>
              <w:jc w:val="both"/>
              <w:rPr>
                <w:rFonts w:ascii="Arial" w:hAnsi="Arial" w:cs="Arial"/>
                <w:sz w:val="16"/>
                <w:szCs w:val="16"/>
              </w:rPr>
            </w:pPr>
          </w:p>
        </w:tc>
      </w:tr>
      <w:tr w:rsidR="00965DCA" w:rsidRPr="00965DCA" w14:paraId="2D0D5266" w14:textId="77777777" w:rsidTr="0037006D">
        <w:tc>
          <w:tcPr>
            <w:tcW w:w="1337" w:type="dxa"/>
            <w:shd w:val="clear" w:color="auto" w:fill="F7FAFC"/>
            <w:tcMar>
              <w:top w:w="90" w:type="dxa"/>
              <w:left w:w="90" w:type="dxa"/>
              <w:bottom w:w="90" w:type="dxa"/>
              <w:right w:w="90" w:type="dxa"/>
            </w:tcMar>
          </w:tcPr>
          <w:p w14:paraId="775E94E9"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12</w:t>
            </w:r>
          </w:p>
        </w:tc>
        <w:tc>
          <w:tcPr>
            <w:tcW w:w="1337" w:type="dxa"/>
            <w:shd w:val="clear" w:color="auto" w:fill="F7FAFC"/>
            <w:tcMar>
              <w:top w:w="90" w:type="dxa"/>
              <w:left w:w="90" w:type="dxa"/>
              <w:bottom w:w="90" w:type="dxa"/>
              <w:right w:w="90" w:type="dxa"/>
            </w:tcMar>
          </w:tcPr>
          <w:p w14:paraId="0283A9E8"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8</w:t>
            </w:r>
          </w:p>
        </w:tc>
        <w:tc>
          <w:tcPr>
            <w:tcW w:w="1337" w:type="dxa"/>
            <w:shd w:val="clear" w:color="auto" w:fill="F7FAFC"/>
            <w:tcMar>
              <w:top w:w="90" w:type="dxa"/>
              <w:left w:w="90" w:type="dxa"/>
              <w:bottom w:w="90" w:type="dxa"/>
              <w:right w:w="90" w:type="dxa"/>
            </w:tcMar>
          </w:tcPr>
          <w:p w14:paraId="1019D51E"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7FAFC"/>
            <w:tcMar>
              <w:top w:w="90" w:type="dxa"/>
              <w:left w:w="90" w:type="dxa"/>
              <w:bottom w:w="90" w:type="dxa"/>
              <w:right w:w="90" w:type="dxa"/>
            </w:tcMar>
          </w:tcPr>
          <w:p w14:paraId="4A119D57"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176-34515</w:t>
            </w:r>
          </w:p>
        </w:tc>
        <w:tc>
          <w:tcPr>
            <w:tcW w:w="1337" w:type="dxa"/>
            <w:shd w:val="clear" w:color="auto" w:fill="F7FAFC"/>
            <w:tcMar>
              <w:top w:w="90" w:type="dxa"/>
              <w:left w:w="90" w:type="dxa"/>
              <w:bottom w:w="90" w:type="dxa"/>
              <w:right w:w="90" w:type="dxa"/>
            </w:tcMar>
          </w:tcPr>
          <w:p w14:paraId="20CE015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7FAFC"/>
            <w:tcMar>
              <w:top w:w="90" w:type="dxa"/>
              <w:left w:w="90" w:type="dxa"/>
              <w:bottom w:w="90" w:type="dxa"/>
              <w:right w:w="90" w:type="dxa"/>
            </w:tcMar>
          </w:tcPr>
          <w:p w14:paraId="1A169F02"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IFI Concesión Salinas</w:t>
            </w:r>
          </w:p>
        </w:tc>
        <w:tc>
          <w:tcPr>
            <w:tcW w:w="1337" w:type="dxa"/>
            <w:shd w:val="clear" w:color="auto" w:fill="F7FAFC"/>
            <w:tcMar>
              <w:top w:w="90" w:type="dxa"/>
              <w:left w:w="90" w:type="dxa"/>
              <w:bottom w:w="90" w:type="dxa"/>
              <w:right w:w="90" w:type="dxa"/>
            </w:tcMar>
          </w:tcPr>
          <w:p w14:paraId="70DEC3E0" w14:textId="77777777" w:rsidR="00965DCA" w:rsidRPr="00965DCA" w:rsidRDefault="00965DCA" w:rsidP="00965DCA">
            <w:pPr>
              <w:jc w:val="both"/>
              <w:rPr>
                <w:rFonts w:ascii="Arial" w:hAnsi="Arial" w:cs="Arial"/>
                <w:sz w:val="16"/>
                <w:szCs w:val="16"/>
              </w:rPr>
            </w:pPr>
          </w:p>
        </w:tc>
      </w:tr>
      <w:tr w:rsidR="00965DCA" w:rsidRPr="00965DCA" w14:paraId="1235887D" w14:textId="77777777" w:rsidTr="0037006D">
        <w:tc>
          <w:tcPr>
            <w:tcW w:w="1337" w:type="dxa"/>
            <w:shd w:val="clear" w:color="auto" w:fill="FFFFFF" w:themeFill="background1"/>
            <w:tcMar>
              <w:top w:w="90" w:type="dxa"/>
              <w:left w:w="90" w:type="dxa"/>
              <w:bottom w:w="90" w:type="dxa"/>
              <w:right w:w="90" w:type="dxa"/>
            </w:tcMar>
          </w:tcPr>
          <w:p w14:paraId="731EEDC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13</w:t>
            </w:r>
          </w:p>
        </w:tc>
        <w:tc>
          <w:tcPr>
            <w:tcW w:w="1337" w:type="dxa"/>
            <w:shd w:val="clear" w:color="auto" w:fill="FFFFFF" w:themeFill="background1"/>
            <w:tcMar>
              <w:top w:w="90" w:type="dxa"/>
              <w:left w:w="90" w:type="dxa"/>
              <w:bottom w:w="90" w:type="dxa"/>
              <w:right w:w="90" w:type="dxa"/>
            </w:tcMar>
          </w:tcPr>
          <w:p w14:paraId="04955D5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3</w:t>
            </w:r>
          </w:p>
        </w:tc>
        <w:tc>
          <w:tcPr>
            <w:tcW w:w="1337" w:type="dxa"/>
            <w:shd w:val="clear" w:color="auto" w:fill="FFFFFF" w:themeFill="background1"/>
            <w:tcMar>
              <w:top w:w="90" w:type="dxa"/>
              <w:left w:w="90" w:type="dxa"/>
              <w:bottom w:w="90" w:type="dxa"/>
              <w:right w:w="90" w:type="dxa"/>
            </w:tcMar>
          </w:tcPr>
          <w:p w14:paraId="71299482"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6333463F"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176-34516</w:t>
            </w:r>
          </w:p>
        </w:tc>
        <w:tc>
          <w:tcPr>
            <w:tcW w:w="1337" w:type="dxa"/>
            <w:shd w:val="clear" w:color="auto" w:fill="FFFFFF" w:themeFill="background1"/>
            <w:tcMar>
              <w:top w:w="90" w:type="dxa"/>
              <w:left w:w="90" w:type="dxa"/>
              <w:bottom w:w="90" w:type="dxa"/>
              <w:right w:w="90" w:type="dxa"/>
            </w:tcMar>
          </w:tcPr>
          <w:p w14:paraId="411AC504"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FFFFF" w:themeFill="background1"/>
            <w:tcMar>
              <w:top w:w="90" w:type="dxa"/>
              <w:left w:w="90" w:type="dxa"/>
              <w:bottom w:w="90" w:type="dxa"/>
              <w:right w:w="90" w:type="dxa"/>
            </w:tcMar>
          </w:tcPr>
          <w:p w14:paraId="3B04F409"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IFI Concesión Salinas</w:t>
            </w:r>
          </w:p>
        </w:tc>
        <w:tc>
          <w:tcPr>
            <w:tcW w:w="1337" w:type="dxa"/>
            <w:shd w:val="clear" w:color="auto" w:fill="FFFFFF" w:themeFill="background1"/>
            <w:tcMar>
              <w:top w:w="90" w:type="dxa"/>
              <w:left w:w="90" w:type="dxa"/>
              <w:bottom w:w="90" w:type="dxa"/>
              <w:right w:w="90" w:type="dxa"/>
            </w:tcMar>
          </w:tcPr>
          <w:p w14:paraId="4812BEFB" w14:textId="77777777" w:rsidR="00965DCA" w:rsidRPr="00965DCA" w:rsidRDefault="00965DCA" w:rsidP="00965DCA">
            <w:pPr>
              <w:jc w:val="both"/>
              <w:rPr>
                <w:rFonts w:ascii="Arial" w:hAnsi="Arial" w:cs="Arial"/>
                <w:sz w:val="16"/>
                <w:szCs w:val="16"/>
              </w:rPr>
            </w:pPr>
          </w:p>
        </w:tc>
      </w:tr>
      <w:tr w:rsidR="00965DCA" w:rsidRPr="00965DCA" w14:paraId="4A67A3A2" w14:textId="77777777" w:rsidTr="0037006D">
        <w:tc>
          <w:tcPr>
            <w:tcW w:w="1337" w:type="dxa"/>
            <w:shd w:val="clear" w:color="auto" w:fill="F7FAFC"/>
            <w:tcMar>
              <w:top w:w="90" w:type="dxa"/>
              <w:left w:w="90" w:type="dxa"/>
              <w:bottom w:w="90" w:type="dxa"/>
              <w:right w:w="90" w:type="dxa"/>
            </w:tcMar>
          </w:tcPr>
          <w:p w14:paraId="2AC1ED1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14</w:t>
            </w:r>
          </w:p>
        </w:tc>
        <w:tc>
          <w:tcPr>
            <w:tcW w:w="1337" w:type="dxa"/>
            <w:shd w:val="clear" w:color="auto" w:fill="F7FAFC"/>
            <w:tcMar>
              <w:top w:w="90" w:type="dxa"/>
              <w:left w:w="90" w:type="dxa"/>
              <w:bottom w:w="90" w:type="dxa"/>
              <w:right w:w="90" w:type="dxa"/>
            </w:tcMar>
          </w:tcPr>
          <w:p w14:paraId="6CB06DDB"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9</w:t>
            </w:r>
          </w:p>
        </w:tc>
        <w:tc>
          <w:tcPr>
            <w:tcW w:w="1337" w:type="dxa"/>
            <w:shd w:val="clear" w:color="auto" w:fill="F7FAFC"/>
            <w:tcMar>
              <w:top w:w="90" w:type="dxa"/>
              <w:left w:w="90" w:type="dxa"/>
              <w:bottom w:w="90" w:type="dxa"/>
              <w:right w:w="90" w:type="dxa"/>
            </w:tcMar>
          </w:tcPr>
          <w:p w14:paraId="47734BBE"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7FAFC"/>
            <w:tcMar>
              <w:top w:w="90" w:type="dxa"/>
              <w:left w:w="90" w:type="dxa"/>
              <w:bottom w:w="90" w:type="dxa"/>
              <w:right w:w="90" w:type="dxa"/>
            </w:tcMar>
          </w:tcPr>
          <w:p w14:paraId="2D2D822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176-34530</w:t>
            </w:r>
          </w:p>
        </w:tc>
        <w:tc>
          <w:tcPr>
            <w:tcW w:w="1337" w:type="dxa"/>
            <w:shd w:val="clear" w:color="auto" w:fill="F7FAFC"/>
            <w:tcMar>
              <w:top w:w="90" w:type="dxa"/>
              <w:left w:w="90" w:type="dxa"/>
              <w:bottom w:w="90" w:type="dxa"/>
              <w:right w:w="90" w:type="dxa"/>
            </w:tcMar>
          </w:tcPr>
          <w:p w14:paraId="45E5F81E"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7FAFC"/>
            <w:tcMar>
              <w:top w:w="90" w:type="dxa"/>
              <w:left w:w="90" w:type="dxa"/>
              <w:bottom w:w="90" w:type="dxa"/>
              <w:right w:w="90" w:type="dxa"/>
            </w:tcMar>
          </w:tcPr>
          <w:p w14:paraId="226C5F5B"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Concesión Salinas Del Instituto De Fomento Industrial</w:t>
            </w:r>
          </w:p>
        </w:tc>
        <w:tc>
          <w:tcPr>
            <w:tcW w:w="1337" w:type="dxa"/>
            <w:shd w:val="clear" w:color="auto" w:fill="F7FAFC"/>
            <w:tcMar>
              <w:top w:w="90" w:type="dxa"/>
              <w:left w:w="90" w:type="dxa"/>
              <w:bottom w:w="90" w:type="dxa"/>
              <w:right w:w="90" w:type="dxa"/>
            </w:tcMar>
          </w:tcPr>
          <w:p w14:paraId="3292F256" w14:textId="77777777" w:rsidR="00965DCA" w:rsidRPr="00965DCA" w:rsidRDefault="00965DCA" w:rsidP="00965DCA">
            <w:pPr>
              <w:jc w:val="both"/>
              <w:rPr>
                <w:rFonts w:ascii="Arial" w:hAnsi="Arial" w:cs="Arial"/>
                <w:sz w:val="16"/>
                <w:szCs w:val="16"/>
              </w:rPr>
            </w:pPr>
          </w:p>
        </w:tc>
      </w:tr>
      <w:tr w:rsidR="00965DCA" w:rsidRPr="00965DCA" w14:paraId="6ED045EE" w14:textId="77777777" w:rsidTr="0037006D">
        <w:tc>
          <w:tcPr>
            <w:tcW w:w="1337" w:type="dxa"/>
            <w:shd w:val="clear" w:color="auto" w:fill="FFFFFF" w:themeFill="background1"/>
            <w:tcMar>
              <w:top w:w="90" w:type="dxa"/>
              <w:left w:w="90" w:type="dxa"/>
              <w:bottom w:w="90" w:type="dxa"/>
              <w:right w:w="90" w:type="dxa"/>
            </w:tcMar>
          </w:tcPr>
          <w:p w14:paraId="04FD684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15</w:t>
            </w:r>
          </w:p>
        </w:tc>
        <w:tc>
          <w:tcPr>
            <w:tcW w:w="1337" w:type="dxa"/>
            <w:shd w:val="clear" w:color="auto" w:fill="FFFFFF" w:themeFill="background1"/>
            <w:tcMar>
              <w:top w:w="90" w:type="dxa"/>
              <w:left w:w="90" w:type="dxa"/>
              <w:bottom w:w="90" w:type="dxa"/>
              <w:right w:w="90" w:type="dxa"/>
            </w:tcMar>
          </w:tcPr>
          <w:p w14:paraId="08953665"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4</w:t>
            </w:r>
          </w:p>
        </w:tc>
        <w:tc>
          <w:tcPr>
            <w:tcW w:w="1337" w:type="dxa"/>
            <w:shd w:val="clear" w:color="auto" w:fill="FFFFFF" w:themeFill="background1"/>
            <w:tcMar>
              <w:top w:w="90" w:type="dxa"/>
              <w:left w:w="90" w:type="dxa"/>
              <w:bottom w:w="90" w:type="dxa"/>
              <w:right w:w="90" w:type="dxa"/>
            </w:tcMar>
          </w:tcPr>
          <w:p w14:paraId="5F547DAE"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476676DE"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176-34532</w:t>
            </w:r>
          </w:p>
        </w:tc>
        <w:tc>
          <w:tcPr>
            <w:tcW w:w="1337" w:type="dxa"/>
            <w:shd w:val="clear" w:color="auto" w:fill="FFFFFF" w:themeFill="background1"/>
            <w:tcMar>
              <w:top w:w="90" w:type="dxa"/>
              <w:left w:w="90" w:type="dxa"/>
              <w:bottom w:w="90" w:type="dxa"/>
              <w:right w:w="90" w:type="dxa"/>
            </w:tcMar>
          </w:tcPr>
          <w:p w14:paraId="40EB09C0"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FFFFF" w:themeFill="background1"/>
            <w:tcMar>
              <w:top w:w="90" w:type="dxa"/>
              <w:left w:w="90" w:type="dxa"/>
              <w:bottom w:w="90" w:type="dxa"/>
              <w:right w:w="90" w:type="dxa"/>
            </w:tcMar>
          </w:tcPr>
          <w:p w14:paraId="13E1E232"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Concesión Salinas Del Instituto De Fomento Industrial</w:t>
            </w:r>
          </w:p>
        </w:tc>
        <w:tc>
          <w:tcPr>
            <w:tcW w:w="1337" w:type="dxa"/>
            <w:shd w:val="clear" w:color="auto" w:fill="FFFFFF" w:themeFill="background1"/>
            <w:tcMar>
              <w:top w:w="90" w:type="dxa"/>
              <w:left w:w="90" w:type="dxa"/>
              <w:bottom w:w="90" w:type="dxa"/>
              <w:right w:w="90" w:type="dxa"/>
            </w:tcMar>
          </w:tcPr>
          <w:p w14:paraId="5BAF4AAA" w14:textId="77777777" w:rsidR="00965DCA" w:rsidRPr="00965DCA" w:rsidRDefault="00965DCA" w:rsidP="00965DCA">
            <w:pPr>
              <w:jc w:val="both"/>
              <w:rPr>
                <w:rFonts w:ascii="Arial" w:hAnsi="Arial" w:cs="Arial"/>
                <w:sz w:val="16"/>
                <w:szCs w:val="16"/>
              </w:rPr>
            </w:pPr>
          </w:p>
        </w:tc>
      </w:tr>
      <w:tr w:rsidR="00965DCA" w:rsidRPr="00965DCA" w14:paraId="41C3F050" w14:textId="77777777" w:rsidTr="0037006D">
        <w:tc>
          <w:tcPr>
            <w:tcW w:w="1337" w:type="dxa"/>
            <w:shd w:val="clear" w:color="auto" w:fill="F7FAFC"/>
            <w:tcMar>
              <w:top w:w="90" w:type="dxa"/>
              <w:left w:w="90" w:type="dxa"/>
              <w:bottom w:w="90" w:type="dxa"/>
              <w:right w:w="90" w:type="dxa"/>
            </w:tcMar>
          </w:tcPr>
          <w:p w14:paraId="4717A410"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16</w:t>
            </w:r>
          </w:p>
        </w:tc>
        <w:tc>
          <w:tcPr>
            <w:tcW w:w="1337" w:type="dxa"/>
            <w:shd w:val="clear" w:color="auto" w:fill="F7FAFC"/>
            <w:tcMar>
              <w:top w:w="90" w:type="dxa"/>
              <w:left w:w="90" w:type="dxa"/>
              <w:bottom w:w="90" w:type="dxa"/>
              <w:right w:w="90" w:type="dxa"/>
            </w:tcMar>
          </w:tcPr>
          <w:p w14:paraId="70FDC32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29</w:t>
            </w:r>
          </w:p>
        </w:tc>
        <w:tc>
          <w:tcPr>
            <w:tcW w:w="1337" w:type="dxa"/>
            <w:shd w:val="clear" w:color="auto" w:fill="F7FAFC"/>
            <w:tcMar>
              <w:top w:w="90" w:type="dxa"/>
              <w:left w:w="90" w:type="dxa"/>
              <w:bottom w:w="90" w:type="dxa"/>
              <w:right w:w="90" w:type="dxa"/>
            </w:tcMar>
          </w:tcPr>
          <w:p w14:paraId="52351BC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03/09/2008</w:t>
            </w:r>
          </w:p>
        </w:tc>
        <w:tc>
          <w:tcPr>
            <w:tcW w:w="1337" w:type="dxa"/>
            <w:shd w:val="clear" w:color="auto" w:fill="F7FAFC"/>
            <w:tcMar>
              <w:top w:w="90" w:type="dxa"/>
              <w:left w:w="90" w:type="dxa"/>
              <w:bottom w:w="90" w:type="dxa"/>
              <w:right w:w="90" w:type="dxa"/>
            </w:tcMar>
          </w:tcPr>
          <w:p w14:paraId="5A780633"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176-34969</w:t>
            </w:r>
          </w:p>
        </w:tc>
        <w:tc>
          <w:tcPr>
            <w:tcW w:w="1337" w:type="dxa"/>
            <w:shd w:val="clear" w:color="auto" w:fill="F7FAFC"/>
            <w:tcMar>
              <w:top w:w="90" w:type="dxa"/>
              <w:left w:w="90" w:type="dxa"/>
              <w:bottom w:w="90" w:type="dxa"/>
              <w:right w:w="90" w:type="dxa"/>
            </w:tcMar>
          </w:tcPr>
          <w:p w14:paraId="4992A8FF"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7FAFC"/>
            <w:tcMar>
              <w:top w:w="90" w:type="dxa"/>
              <w:left w:w="90" w:type="dxa"/>
              <w:bottom w:w="90" w:type="dxa"/>
              <w:right w:w="90" w:type="dxa"/>
            </w:tcMar>
          </w:tcPr>
          <w:p w14:paraId="1A6A09A4"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 xml:space="preserve">La Nación -Concesión De Salinas, </w:t>
            </w:r>
            <w:r w:rsidRPr="00965DCA">
              <w:rPr>
                <w:rFonts w:ascii="Arial" w:hAnsi="Arial" w:cs="Arial"/>
                <w:sz w:val="16"/>
                <w:szCs w:val="16"/>
              </w:rPr>
              <w:lastRenderedPageBreak/>
              <w:t>Administrada Por El IFI</w:t>
            </w:r>
          </w:p>
        </w:tc>
        <w:tc>
          <w:tcPr>
            <w:tcW w:w="1337" w:type="dxa"/>
            <w:shd w:val="clear" w:color="auto" w:fill="F7FAFC"/>
            <w:tcMar>
              <w:top w:w="90" w:type="dxa"/>
              <w:left w:w="90" w:type="dxa"/>
              <w:bottom w:w="90" w:type="dxa"/>
              <w:right w:w="90" w:type="dxa"/>
            </w:tcMar>
          </w:tcPr>
          <w:p w14:paraId="7100AB99" w14:textId="77777777" w:rsidR="00965DCA" w:rsidRPr="00965DCA" w:rsidRDefault="00965DCA" w:rsidP="00965DCA">
            <w:pPr>
              <w:jc w:val="both"/>
              <w:rPr>
                <w:rFonts w:ascii="Arial" w:hAnsi="Arial" w:cs="Arial"/>
                <w:sz w:val="16"/>
                <w:szCs w:val="16"/>
              </w:rPr>
            </w:pPr>
          </w:p>
        </w:tc>
      </w:tr>
      <w:tr w:rsidR="00965DCA" w:rsidRPr="00965DCA" w14:paraId="25CCE6F5" w14:textId="77777777" w:rsidTr="0037006D">
        <w:tc>
          <w:tcPr>
            <w:tcW w:w="1337" w:type="dxa"/>
            <w:shd w:val="clear" w:color="auto" w:fill="FFFFFF" w:themeFill="background1"/>
            <w:tcMar>
              <w:top w:w="90" w:type="dxa"/>
              <w:left w:w="90" w:type="dxa"/>
              <w:bottom w:w="90" w:type="dxa"/>
              <w:right w:w="90" w:type="dxa"/>
            </w:tcMar>
          </w:tcPr>
          <w:p w14:paraId="14E6FDE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w:t>
            </w:r>
          </w:p>
        </w:tc>
        <w:tc>
          <w:tcPr>
            <w:tcW w:w="1337" w:type="dxa"/>
            <w:shd w:val="clear" w:color="auto" w:fill="FFFFFF" w:themeFill="background1"/>
            <w:tcMar>
              <w:top w:w="90" w:type="dxa"/>
              <w:left w:w="90" w:type="dxa"/>
              <w:bottom w:w="90" w:type="dxa"/>
              <w:right w:w="90" w:type="dxa"/>
            </w:tcMar>
          </w:tcPr>
          <w:p w14:paraId="7CA7AD1B"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26</w:t>
            </w:r>
          </w:p>
        </w:tc>
        <w:tc>
          <w:tcPr>
            <w:tcW w:w="1337" w:type="dxa"/>
            <w:shd w:val="clear" w:color="auto" w:fill="FFFFFF" w:themeFill="background1"/>
            <w:tcMar>
              <w:top w:w="90" w:type="dxa"/>
              <w:left w:w="90" w:type="dxa"/>
              <w:bottom w:w="90" w:type="dxa"/>
              <w:right w:w="90" w:type="dxa"/>
            </w:tcMar>
          </w:tcPr>
          <w:p w14:paraId="47A8E05D"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34B43DDB" w14:textId="77777777" w:rsidR="00965DCA" w:rsidRPr="00965DCA" w:rsidRDefault="00965DCA" w:rsidP="00965DCA">
            <w:pPr>
              <w:jc w:val="both"/>
              <w:rPr>
                <w:rFonts w:ascii="Arial" w:hAnsi="Arial" w:cs="Arial"/>
                <w:b/>
                <w:bCs/>
                <w:sz w:val="16"/>
                <w:szCs w:val="16"/>
              </w:rPr>
            </w:pPr>
            <w:r w:rsidRPr="00965DCA">
              <w:rPr>
                <w:rFonts w:ascii="Arial" w:hAnsi="Arial" w:cs="Arial"/>
                <w:b/>
                <w:bCs/>
                <w:sz w:val="16"/>
                <w:szCs w:val="16"/>
              </w:rPr>
              <w:t>176-34970</w:t>
            </w:r>
          </w:p>
        </w:tc>
        <w:tc>
          <w:tcPr>
            <w:tcW w:w="1337" w:type="dxa"/>
            <w:shd w:val="clear" w:color="auto" w:fill="FFFFFF" w:themeFill="background1"/>
            <w:tcMar>
              <w:top w:w="90" w:type="dxa"/>
              <w:left w:w="90" w:type="dxa"/>
              <w:bottom w:w="90" w:type="dxa"/>
              <w:right w:w="90" w:type="dxa"/>
            </w:tcMar>
          </w:tcPr>
          <w:p w14:paraId="01B5CDE2"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Zipaquirá</w:t>
            </w:r>
          </w:p>
        </w:tc>
        <w:tc>
          <w:tcPr>
            <w:tcW w:w="1337" w:type="dxa"/>
            <w:shd w:val="clear" w:color="auto" w:fill="FFFFFF" w:themeFill="background1"/>
            <w:tcMar>
              <w:top w:w="90" w:type="dxa"/>
              <w:left w:w="90" w:type="dxa"/>
              <w:bottom w:w="90" w:type="dxa"/>
              <w:right w:w="90" w:type="dxa"/>
            </w:tcMar>
          </w:tcPr>
          <w:p w14:paraId="36A809FB"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IFI Concesión Salinas</w:t>
            </w:r>
          </w:p>
        </w:tc>
        <w:tc>
          <w:tcPr>
            <w:tcW w:w="1337" w:type="dxa"/>
            <w:shd w:val="clear" w:color="auto" w:fill="FFFFFF" w:themeFill="background1"/>
            <w:tcMar>
              <w:top w:w="90" w:type="dxa"/>
              <w:left w:w="90" w:type="dxa"/>
              <w:bottom w:w="90" w:type="dxa"/>
              <w:right w:w="90" w:type="dxa"/>
            </w:tcMar>
          </w:tcPr>
          <w:p w14:paraId="6793A279" w14:textId="77777777" w:rsidR="00965DCA" w:rsidRPr="00965DCA" w:rsidRDefault="00965DCA" w:rsidP="00965DCA">
            <w:pPr>
              <w:jc w:val="both"/>
              <w:rPr>
                <w:rFonts w:ascii="Arial" w:hAnsi="Arial" w:cs="Arial"/>
                <w:b/>
                <w:bCs/>
                <w:sz w:val="16"/>
                <w:szCs w:val="16"/>
              </w:rPr>
            </w:pPr>
            <w:r w:rsidRPr="00965DCA">
              <w:rPr>
                <w:rFonts w:ascii="Arial" w:hAnsi="Arial" w:cs="Arial"/>
                <w:b/>
                <w:bCs/>
                <w:sz w:val="16"/>
                <w:szCs w:val="16"/>
              </w:rPr>
              <w:t>Lote Pantano Redondo - Convenio CAR 2741/2025. saneamiento, pago de impuesto predial, registro y transferencia.</w:t>
            </w:r>
          </w:p>
        </w:tc>
      </w:tr>
      <w:tr w:rsidR="00965DCA" w:rsidRPr="00965DCA" w14:paraId="5B46E96C" w14:textId="77777777" w:rsidTr="0037006D">
        <w:tc>
          <w:tcPr>
            <w:tcW w:w="1337" w:type="dxa"/>
            <w:shd w:val="clear" w:color="auto" w:fill="F7FAFC"/>
            <w:tcMar>
              <w:top w:w="90" w:type="dxa"/>
              <w:left w:w="90" w:type="dxa"/>
              <w:bottom w:w="90" w:type="dxa"/>
              <w:right w:w="90" w:type="dxa"/>
            </w:tcMar>
          </w:tcPr>
          <w:p w14:paraId="40C5072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18</w:t>
            </w:r>
          </w:p>
        </w:tc>
        <w:tc>
          <w:tcPr>
            <w:tcW w:w="1337" w:type="dxa"/>
            <w:shd w:val="clear" w:color="auto" w:fill="F7FAFC"/>
            <w:tcMar>
              <w:top w:w="90" w:type="dxa"/>
              <w:left w:w="90" w:type="dxa"/>
              <w:bottom w:w="90" w:type="dxa"/>
              <w:right w:w="90" w:type="dxa"/>
            </w:tcMar>
          </w:tcPr>
          <w:p w14:paraId="61B0BF0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16</w:t>
            </w:r>
          </w:p>
        </w:tc>
        <w:tc>
          <w:tcPr>
            <w:tcW w:w="1337" w:type="dxa"/>
            <w:shd w:val="clear" w:color="auto" w:fill="F7FAFC"/>
            <w:tcMar>
              <w:top w:w="90" w:type="dxa"/>
              <w:left w:w="90" w:type="dxa"/>
              <w:bottom w:w="90" w:type="dxa"/>
              <w:right w:w="90" w:type="dxa"/>
            </w:tcMar>
          </w:tcPr>
          <w:p w14:paraId="549C8704"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7FAFC"/>
            <w:tcMar>
              <w:top w:w="90" w:type="dxa"/>
              <w:left w:w="90" w:type="dxa"/>
              <w:bottom w:w="90" w:type="dxa"/>
              <w:right w:w="90" w:type="dxa"/>
            </w:tcMar>
          </w:tcPr>
          <w:p w14:paraId="13F495BF"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176-34990</w:t>
            </w:r>
          </w:p>
        </w:tc>
        <w:tc>
          <w:tcPr>
            <w:tcW w:w="1337" w:type="dxa"/>
            <w:shd w:val="clear" w:color="auto" w:fill="F7FAFC"/>
            <w:tcMar>
              <w:top w:w="90" w:type="dxa"/>
              <w:left w:w="90" w:type="dxa"/>
              <w:bottom w:w="90" w:type="dxa"/>
              <w:right w:w="90" w:type="dxa"/>
            </w:tcMar>
          </w:tcPr>
          <w:p w14:paraId="29218C7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Nemocón</w:t>
            </w:r>
          </w:p>
        </w:tc>
        <w:tc>
          <w:tcPr>
            <w:tcW w:w="1337" w:type="dxa"/>
            <w:shd w:val="clear" w:color="auto" w:fill="F7FAFC"/>
            <w:tcMar>
              <w:top w:w="90" w:type="dxa"/>
              <w:left w:w="90" w:type="dxa"/>
              <w:bottom w:w="90" w:type="dxa"/>
              <w:right w:w="90" w:type="dxa"/>
            </w:tcMar>
          </w:tcPr>
          <w:p w14:paraId="07158C8B"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Concesión Salinas</w:t>
            </w:r>
          </w:p>
        </w:tc>
        <w:tc>
          <w:tcPr>
            <w:tcW w:w="1337" w:type="dxa"/>
            <w:shd w:val="clear" w:color="auto" w:fill="F7FAFC"/>
            <w:tcMar>
              <w:top w:w="90" w:type="dxa"/>
              <w:left w:w="90" w:type="dxa"/>
              <w:bottom w:w="90" w:type="dxa"/>
              <w:right w:w="90" w:type="dxa"/>
            </w:tcMar>
          </w:tcPr>
          <w:p w14:paraId="60BD5A87" w14:textId="77777777" w:rsidR="00965DCA" w:rsidRPr="00965DCA" w:rsidRDefault="00965DCA" w:rsidP="00965DCA">
            <w:pPr>
              <w:jc w:val="both"/>
              <w:rPr>
                <w:rFonts w:ascii="Arial" w:hAnsi="Arial" w:cs="Arial"/>
                <w:sz w:val="16"/>
                <w:szCs w:val="16"/>
              </w:rPr>
            </w:pPr>
          </w:p>
        </w:tc>
      </w:tr>
      <w:tr w:rsidR="00965DCA" w:rsidRPr="00965DCA" w14:paraId="6F38595B" w14:textId="77777777" w:rsidTr="0037006D">
        <w:tc>
          <w:tcPr>
            <w:tcW w:w="1337" w:type="dxa"/>
            <w:shd w:val="clear" w:color="auto" w:fill="FFFFFF" w:themeFill="background1"/>
            <w:tcMar>
              <w:top w:w="90" w:type="dxa"/>
              <w:left w:w="90" w:type="dxa"/>
              <w:bottom w:w="90" w:type="dxa"/>
              <w:right w:w="90" w:type="dxa"/>
            </w:tcMar>
          </w:tcPr>
          <w:p w14:paraId="4A75C227"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19</w:t>
            </w:r>
          </w:p>
        </w:tc>
        <w:tc>
          <w:tcPr>
            <w:tcW w:w="1337" w:type="dxa"/>
            <w:shd w:val="clear" w:color="auto" w:fill="FFFFFF" w:themeFill="background1"/>
            <w:tcMar>
              <w:top w:w="90" w:type="dxa"/>
              <w:left w:w="90" w:type="dxa"/>
              <w:bottom w:w="90" w:type="dxa"/>
              <w:right w:w="90" w:type="dxa"/>
            </w:tcMar>
          </w:tcPr>
          <w:p w14:paraId="22A63DEB"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27</w:t>
            </w:r>
          </w:p>
        </w:tc>
        <w:tc>
          <w:tcPr>
            <w:tcW w:w="1337" w:type="dxa"/>
            <w:shd w:val="clear" w:color="auto" w:fill="FFFFFF" w:themeFill="background1"/>
            <w:tcMar>
              <w:top w:w="90" w:type="dxa"/>
              <w:left w:w="90" w:type="dxa"/>
              <w:bottom w:w="90" w:type="dxa"/>
              <w:right w:w="90" w:type="dxa"/>
            </w:tcMar>
          </w:tcPr>
          <w:p w14:paraId="5EA21B7D"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0C05705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176-12127</w:t>
            </w:r>
          </w:p>
        </w:tc>
        <w:tc>
          <w:tcPr>
            <w:tcW w:w="1337" w:type="dxa"/>
            <w:shd w:val="clear" w:color="auto" w:fill="FFFFFF" w:themeFill="background1"/>
            <w:tcMar>
              <w:top w:w="90" w:type="dxa"/>
              <w:left w:w="90" w:type="dxa"/>
              <w:bottom w:w="90" w:type="dxa"/>
              <w:right w:w="90" w:type="dxa"/>
            </w:tcMar>
          </w:tcPr>
          <w:p w14:paraId="47B2881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Nemocón</w:t>
            </w:r>
          </w:p>
        </w:tc>
        <w:tc>
          <w:tcPr>
            <w:tcW w:w="1337" w:type="dxa"/>
            <w:shd w:val="clear" w:color="auto" w:fill="FFFFFF" w:themeFill="background1"/>
            <w:tcMar>
              <w:top w:w="90" w:type="dxa"/>
              <w:left w:w="90" w:type="dxa"/>
              <w:bottom w:w="90" w:type="dxa"/>
              <w:right w:w="90" w:type="dxa"/>
            </w:tcMar>
          </w:tcPr>
          <w:p w14:paraId="271C1B8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La Nación -Concesión Salinas, Administrada Por El IFI</w:t>
            </w:r>
          </w:p>
        </w:tc>
        <w:tc>
          <w:tcPr>
            <w:tcW w:w="1337" w:type="dxa"/>
            <w:shd w:val="clear" w:color="auto" w:fill="FFFFFF" w:themeFill="background1"/>
            <w:tcMar>
              <w:top w:w="90" w:type="dxa"/>
              <w:left w:w="90" w:type="dxa"/>
              <w:bottom w:w="90" w:type="dxa"/>
              <w:right w:w="90" w:type="dxa"/>
            </w:tcMar>
          </w:tcPr>
          <w:p w14:paraId="7C58A17E" w14:textId="77777777" w:rsidR="00965DCA" w:rsidRPr="00965DCA" w:rsidRDefault="00965DCA" w:rsidP="00965DCA">
            <w:pPr>
              <w:jc w:val="both"/>
              <w:rPr>
                <w:rFonts w:ascii="Arial" w:hAnsi="Arial" w:cs="Arial"/>
                <w:sz w:val="16"/>
                <w:szCs w:val="16"/>
              </w:rPr>
            </w:pPr>
          </w:p>
        </w:tc>
      </w:tr>
      <w:tr w:rsidR="00965DCA" w:rsidRPr="00965DCA" w14:paraId="1368DCF9" w14:textId="77777777" w:rsidTr="0037006D">
        <w:tc>
          <w:tcPr>
            <w:tcW w:w="1337" w:type="dxa"/>
            <w:shd w:val="clear" w:color="auto" w:fill="F7FAFC"/>
            <w:tcMar>
              <w:top w:w="90" w:type="dxa"/>
              <w:left w:w="90" w:type="dxa"/>
              <w:bottom w:w="90" w:type="dxa"/>
              <w:right w:w="90" w:type="dxa"/>
            </w:tcMar>
          </w:tcPr>
          <w:p w14:paraId="5FC8D83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20</w:t>
            </w:r>
          </w:p>
        </w:tc>
        <w:tc>
          <w:tcPr>
            <w:tcW w:w="1337" w:type="dxa"/>
            <w:shd w:val="clear" w:color="auto" w:fill="F7FAFC"/>
            <w:tcMar>
              <w:top w:w="90" w:type="dxa"/>
              <w:left w:w="90" w:type="dxa"/>
              <w:bottom w:w="90" w:type="dxa"/>
              <w:right w:w="90" w:type="dxa"/>
            </w:tcMar>
          </w:tcPr>
          <w:p w14:paraId="371AAB70"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12</w:t>
            </w:r>
          </w:p>
        </w:tc>
        <w:tc>
          <w:tcPr>
            <w:tcW w:w="1337" w:type="dxa"/>
            <w:shd w:val="clear" w:color="auto" w:fill="F7FAFC"/>
            <w:tcMar>
              <w:top w:w="90" w:type="dxa"/>
              <w:left w:w="90" w:type="dxa"/>
              <w:bottom w:w="90" w:type="dxa"/>
              <w:right w:w="90" w:type="dxa"/>
            </w:tcMar>
          </w:tcPr>
          <w:p w14:paraId="152FC72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7FAFC"/>
            <w:tcMar>
              <w:top w:w="90" w:type="dxa"/>
              <w:left w:w="90" w:type="dxa"/>
              <w:bottom w:w="90" w:type="dxa"/>
              <w:right w:w="90" w:type="dxa"/>
            </w:tcMar>
          </w:tcPr>
          <w:p w14:paraId="64F7C003"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176-19117</w:t>
            </w:r>
          </w:p>
        </w:tc>
        <w:tc>
          <w:tcPr>
            <w:tcW w:w="1337" w:type="dxa"/>
            <w:shd w:val="clear" w:color="auto" w:fill="F7FAFC"/>
            <w:tcMar>
              <w:top w:w="90" w:type="dxa"/>
              <w:left w:w="90" w:type="dxa"/>
              <w:bottom w:w="90" w:type="dxa"/>
              <w:right w:w="90" w:type="dxa"/>
            </w:tcMar>
          </w:tcPr>
          <w:p w14:paraId="0F8E30AC"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Nemocón</w:t>
            </w:r>
          </w:p>
        </w:tc>
        <w:tc>
          <w:tcPr>
            <w:tcW w:w="1337" w:type="dxa"/>
            <w:shd w:val="clear" w:color="auto" w:fill="F7FAFC"/>
            <w:tcMar>
              <w:top w:w="90" w:type="dxa"/>
              <w:left w:w="90" w:type="dxa"/>
              <w:bottom w:w="90" w:type="dxa"/>
              <w:right w:w="90" w:type="dxa"/>
            </w:tcMar>
          </w:tcPr>
          <w:p w14:paraId="5CEDFA7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La Nación -Concesión Salinas, Administrada Por El IFI</w:t>
            </w:r>
          </w:p>
        </w:tc>
        <w:tc>
          <w:tcPr>
            <w:tcW w:w="1337" w:type="dxa"/>
            <w:shd w:val="clear" w:color="auto" w:fill="F7FAFC"/>
            <w:tcMar>
              <w:top w:w="90" w:type="dxa"/>
              <w:left w:w="90" w:type="dxa"/>
              <w:bottom w:w="90" w:type="dxa"/>
              <w:right w:w="90" w:type="dxa"/>
            </w:tcMar>
          </w:tcPr>
          <w:p w14:paraId="30ADB797" w14:textId="77777777" w:rsidR="00965DCA" w:rsidRPr="00965DCA" w:rsidRDefault="00965DCA" w:rsidP="00965DCA">
            <w:pPr>
              <w:jc w:val="both"/>
              <w:rPr>
                <w:rFonts w:ascii="Arial" w:hAnsi="Arial" w:cs="Arial"/>
                <w:sz w:val="16"/>
                <w:szCs w:val="16"/>
              </w:rPr>
            </w:pPr>
          </w:p>
        </w:tc>
      </w:tr>
      <w:tr w:rsidR="00965DCA" w:rsidRPr="00965DCA" w14:paraId="437D4016" w14:textId="77777777" w:rsidTr="0037006D">
        <w:tc>
          <w:tcPr>
            <w:tcW w:w="1337" w:type="dxa"/>
            <w:shd w:val="clear" w:color="auto" w:fill="FFFFFF" w:themeFill="background1"/>
            <w:tcMar>
              <w:top w:w="90" w:type="dxa"/>
              <w:left w:w="90" w:type="dxa"/>
              <w:bottom w:w="90" w:type="dxa"/>
              <w:right w:w="90" w:type="dxa"/>
            </w:tcMar>
          </w:tcPr>
          <w:p w14:paraId="38F1EA04"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w:t>
            </w:r>
          </w:p>
        </w:tc>
        <w:tc>
          <w:tcPr>
            <w:tcW w:w="1337" w:type="dxa"/>
            <w:shd w:val="clear" w:color="auto" w:fill="FFFFFF" w:themeFill="background1"/>
            <w:tcMar>
              <w:top w:w="90" w:type="dxa"/>
              <w:left w:w="90" w:type="dxa"/>
              <w:bottom w:w="90" w:type="dxa"/>
              <w:right w:w="90" w:type="dxa"/>
            </w:tcMar>
          </w:tcPr>
          <w:p w14:paraId="33AB5FB7"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13</w:t>
            </w:r>
          </w:p>
        </w:tc>
        <w:tc>
          <w:tcPr>
            <w:tcW w:w="1337" w:type="dxa"/>
            <w:shd w:val="clear" w:color="auto" w:fill="FFFFFF" w:themeFill="background1"/>
            <w:tcMar>
              <w:top w:w="90" w:type="dxa"/>
              <w:left w:w="90" w:type="dxa"/>
              <w:bottom w:w="90" w:type="dxa"/>
              <w:right w:w="90" w:type="dxa"/>
            </w:tcMar>
          </w:tcPr>
          <w:p w14:paraId="5083B52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67C9E33F"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176-24264</w:t>
            </w:r>
          </w:p>
        </w:tc>
        <w:tc>
          <w:tcPr>
            <w:tcW w:w="1337" w:type="dxa"/>
            <w:shd w:val="clear" w:color="auto" w:fill="FFFFFF" w:themeFill="background1"/>
            <w:tcMar>
              <w:top w:w="90" w:type="dxa"/>
              <w:left w:w="90" w:type="dxa"/>
              <w:bottom w:w="90" w:type="dxa"/>
              <w:right w:w="90" w:type="dxa"/>
            </w:tcMar>
          </w:tcPr>
          <w:p w14:paraId="471FE3AB"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Nemocón</w:t>
            </w:r>
          </w:p>
        </w:tc>
        <w:tc>
          <w:tcPr>
            <w:tcW w:w="1337" w:type="dxa"/>
            <w:shd w:val="clear" w:color="auto" w:fill="FFFFFF" w:themeFill="background1"/>
            <w:tcMar>
              <w:top w:w="90" w:type="dxa"/>
              <w:left w:w="90" w:type="dxa"/>
              <w:bottom w:w="90" w:type="dxa"/>
              <w:right w:w="90" w:type="dxa"/>
            </w:tcMar>
          </w:tcPr>
          <w:p w14:paraId="2D6DF3A9"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La Nación -Concesión Salinas, Administrada Por El IFI</w:t>
            </w:r>
          </w:p>
        </w:tc>
        <w:tc>
          <w:tcPr>
            <w:tcW w:w="1337" w:type="dxa"/>
            <w:shd w:val="clear" w:color="auto" w:fill="FFFFFF" w:themeFill="background1"/>
            <w:tcMar>
              <w:top w:w="90" w:type="dxa"/>
              <w:left w:w="90" w:type="dxa"/>
              <w:bottom w:w="90" w:type="dxa"/>
              <w:right w:w="90" w:type="dxa"/>
            </w:tcMar>
          </w:tcPr>
          <w:p w14:paraId="6E295A61" w14:textId="77777777" w:rsidR="00965DCA" w:rsidRPr="00965DCA" w:rsidRDefault="00965DCA" w:rsidP="00965DCA">
            <w:pPr>
              <w:jc w:val="both"/>
              <w:rPr>
                <w:rFonts w:ascii="Arial" w:hAnsi="Arial" w:cs="Arial"/>
                <w:sz w:val="16"/>
                <w:szCs w:val="16"/>
              </w:rPr>
            </w:pPr>
          </w:p>
        </w:tc>
      </w:tr>
      <w:tr w:rsidR="00965DCA" w:rsidRPr="00965DCA" w14:paraId="5340AF2F" w14:textId="77777777" w:rsidTr="0037006D">
        <w:tc>
          <w:tcPr>
            <w:tcW w:w="1337" w:type="dxa"/>
            <w:shd w:val="clear" w:color="auto" w:fill="F7FAFC"/>
            <w:tcMar>
              <w:top w:w="90" w:type="dxa"/>
              <w:left w:w="90" w:type="dxa"/>
              <w:bottom w:w="90" w:type="dxa"/>
              <w:right w:w="90" w:type="dxa"/>
            </w:tcMar>
          </w:tcPr>
          <w:p w14:paraId="371067C8"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22</w:t>
            </w:r>
          </w:p>
        </w:tc>
        <w:tc>
          <w:tcPr>
            <w:tcW w:w="1337" w:type="dxa"/>
            <w:shd w:val="clear" w:color="auto" w:fill="F7FAFC"/>
            <w:tcMar>
              <w:top w:w="90" w:type="dxa"/>
              <w:left w:w="90" w:type="dxa"/>
              <w:bottom w:w="90" w:type="dxa"/>
              <w:right w:w="90" w:type="dxa"/>
            </w:tcMar>
          </w:tcPr>
          <w:p w14:paraId="0B6A2AB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20</w:t>
            </w:r>
          </w:p>
        </w:tc>
        <w:tc>
          <w:tcPr>
            <w:tcW w:w="1337" w:type="dxa"/>
            <w:shd w:val="clear" w:color="auto" w:fill="F7FAFC"/>
            <w:tcMar>
              <w:top w:w="90" w:type="dxa"/>
              <w:left w:w="90" w:type="dxa"/>
              <w:bottom w:w="90" w:type="dxa"/>
              <w:right w:w="90" w:type="dxa"/>
            </w:tcMar>
          </w:tcPr>
          <w:p w14:paraId="02F4834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7FAFC"/>
            <w:tcMar>
              <w:top w:w="90" w:type="dxa"/>
              <w:left w:w="90" w:type="dxa"/>
              <w:bottom w:w="90" w:type="dxa"/>
              <w:right w:w="90" w:type="dxa"/>
            </w:tcMar>
          </w:tcPr>
          <w:p w14:paraId="795CC607"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176-30247</w:t>
            </w:r>
          </w:p>
        </w:tc>
        <w:tc>
          <w:tcPr>
            <w:tcW w:w="1337" w:type="dxa"/>
            <w:shd w:val="clear" w:color="auto" w:fill="F7FAFC"/>
            <w:tcMar>
              <w:top w:w="90" w:type="dxa"/>
              <w:left w:w="90" w:type="dxa"/>
              <w:bottom w:w="90" w:type="dxa"/>
              <w:right w:w="90" w:type="dxa"/>
            </w:tcMar>
          </w:tcPr>
          <w:p w14:paraId="7726042F"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Nemocón</w:t>
            </w:r>
          </w:p>
        </w:tc>
        <w:tc>
          <w:tcPr>
            <w:tcW w:w="1337" w:type="dxa"/>
            <w:shd w:val="clear" w:color="auto" w:fill="F7FAFC"/>
            <w:tcMar>
              <w:top w:w="90" w:type="dxa"/>
              <w:left w:w="90" w:type="dxa"/>
              <w:bottom w:w="90" w:type="dxa"/>
              <w:right w:w="90" w:type="dxa"/>
            </w:tcMar>
          </w:tcPr>
          <w:p w14:paraId="087B89C5"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Concesión Salinas</w:t>
            </w:r>
          </w:p>
        </w:tc>
        <w:tc>
          <w:tcPr>
            <w:tcW w:w="1337" w:type="dxa"/>
            <w:shd w:val="clear" w:color="auto" w:fill="F7FAFC"/>
            <w:tcMar>
              <w:top w:w="90" w:type="dxa"/>
              <w:left w:w="90" w:type="dxa"/>
              <w:bottom w:w="90" w:type="dxa"/>
              <w:right w:w="90" w:type="dxa"/>
            </w:tcMar>
          </w:tcPr>
          <w:p w14:paraId="06610670" w14:textId="77777777" w:rsidR="00965DCA" w:rsidRPr="00965DCA" w:rsidRDefault="00965DCA" w:rsidP="00965DCA">
            <w:pPr>
              <w:jc w:val="both"/>
              <w:rPr>
                <w:rFonts w:ascii="Arial" w:hAnsi="Arial" w:cs="Arial"/>
                <w:sz w:val="16"/>
                <w:szCs w:val="16"/>
              </w:rPr>
            </w:pPr>
          </w:p>
        </w:tc>
      </w:tr>
      <w:tr w:rsidR="00965DCA" w:rsidRPr="00965DCA" w14:paraId="78335D5D" w14:textId="77777777" w:rsidTr="0037006D">
        <w:tc>
          <w:tcPr>
            <w:tcW w:w="1337" w:type="dxa"/>
            <w:shd w:val="clear" w:color="auto" w:fill="FFFFFF" w:themeFill="background1"/>
            <w:tcMar>
              <w:top w:w="90" w:type="dxa"/>
              <w:left w:w="90" w:type="dxa"/>
              <w:bottom w:w="90" w:type="dxa"/>
              <w:right w:w="90" w:type="dxa"/>
            </w:tcMar>
          </w:tcPr>
          <w:p w14:paraId="738D7643"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lastRenderedPageBreak/>
              <w:t>23</w:t>
            </w:r>
          </w:p>
        </w:tc>
        <w:tc>
          <w:tcPr>
            <w:tcW w:w="1337" w:type="dxa"/>
            <w:shd w:val="clear" w:color="auto" w:fill="FFFFFF" w:themeFill="background1"/>
            <w:tcMar>
              <w:top w:w="90" w:type="dxa"/>
              <w:left w:w="90" w:type="dxa"/>
              <w:bottom w:w="90" w:type="dxa"/>
              <w:right w:w="90" w:type="dxa"/>
            </w:tcMar>
          </w:tcPr>
          <w:p w14:paraId="14FEE087"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5</w:t>
            </w:r>
          </w:p>
        </w:tc>
        <w:tc>
          <w:tcPr>
            <w:tcW w:w="1337" w:type="dxa"/>
            <w:shd w:val="clear" w:color="auto" w:fill="FFFFFF" w:themeFill="background1"/>
            <w:tcMar>
              <w:top w:w="90" w:type="dxa"/>
              <w:left w:w="90" w:type="dxa"/>
              <w:bottom w:w="90" w:type="dxa"/>
              <w:right w:w="90" w:type="dxa"/>
            </w:tcMar>
          </w:tcPr>
          <w:p w14:paraId="10F85C02"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22EE7EB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176-34986</w:t>
            </w:r>
          </w:p>
        </w:tc>
        <w:tc>
          <w:tcPr>
            <w:tcW w:w="1337" w:type="dxa"/>
            <w:shd w:val="clear" w:color="auto" w:fill="FFFFFF" w:themeFill="background1"/>
            <w:tcMar>
              <w:top w:w="90" w:type="dxa"/>
              <w:left w:w="90" w:type="dxa"/>
              <w:bottom w:w="90" w:type="dxa"/>
              <w:right w:w="90" w:type="dxa"/>
            </w:tcMar>
          </w:tcPr>
          <w:p w14:paraId="327FD89F"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Nemocón</w:t>
            </w:r>
          </w:p>
        </w:tc>
        <w:tc>
          <w:tcPr>
            <w:tcW w:w="1337" w:type="dxa"/>
            <w:shd w:val="clear" w:color="auto" w:fill="FFFFFF" w:themeFill="background1"/>
            <w:tcMar>
              <w:top w:w="90" w:type="dxa"/>
              <w:left w:w="90" w:type="dxa"/>
              <w:bottom w:w="90" w:type="dxa"/>
              <w:right w:w="90" w:type="dxa"/>
            </w:tcMar>
          </w:tcPr>
          <w:p w14:paraId="6DA610B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La Nación</w:t>
            </w:r>
          </w:p>
        </w:tc>
        <w:tc>
          <w:tcPr>
            <w:tcW w:w="1337" w:type="dxa"/>
            <w:shd w:val="clear" w:color="auto" w:fill="FFFFFF" w:themeFill="background1"/>
            <w:tcMar>
              <w:top w:w="90" w:type="dxa"/>
              <w:left w:w="90" w:type="dxa"/>
              <w:bottom w:w="90" w:type="dxa"/>
              <w:right w:w="90" w:type="dxa"/>
            </w:tcMar>
          </w:tcPr>
          <w:p w14:paraId="16DB5AB4" w14:textId="77777777" w:rsidR="00965DCA" w:rsidRPr="00965DCA" w:rsidRDefault="00965DCA" w:rsidP="00965DCA">
            <w:pPr>
              <w:jc w:val="both"/>
              <w:rPr>
                <w:rFonts w:ascii="Arial" w:hAnsi="Arial" w:cs="Arial"/>
                <w:sz w:val="16"/>
                <w:szCs w:val="16"/>
              </w:rPr>
            </w:pPr>
          </w:p>
        </w:tc>
      </w:tr>
      <w:tr w:rsidR="00965DCA" w:rsidRPr="00965DCA" w14:paraId="4A7A4A65" w14:textId="77777777" w:rsidTr="0037006D">
        <w:tc>
          <w:tcPr>
            <w:tcW w:w="1337" w:type="dxa"/>
            <w:shd w:val="clear" w:color="auto" w:fill="F7FAFC"/>
            <w:tcMar>
              <w:top w:w="90" w:type="dxa"/>
              <w:left w:w="90" w:type="dxa"/>
              <w:bottom w:w="90" w:type="dxa"/>
              <w:right w:w="90" w:type="dxa"/>
            </w:tcMar>
          </w:tcPr>
          <w:p w14:paraId="6591BEE8"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24</w:t>
            </w:r>
          </w:p>
        </w:tc>
        <w:tc>
          <w:tcPr>
            <w:tcW w:w="1337" w:type="dxa"/>
            <w:shd w:val="clear" w:color="auto" w:fill="F7FAFC"/>
            <w:tcMar>
              <w:top w:w="90" w:type="dxa"/>
              <w:left w:w="90" w:type="dxa"/>
              <w:bottom w:w="90" w:type="dxa"/>
              <w:right w:w="90" w:type="dxa"/>
            </w:tcMar>
          </w:tcPr>
          <w:p w14:paraId="2355A984"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7</w:t>
            </w:r>
          </w:p>
        </w:tc>
        <w:tc>
          <w:tcPr>
            <w:tcW w:w="1337" w:type="dxa"/>
            <w:shd w:val="clear" w:color="auto" w:fill="F7FAFC"/>
            <w:tcMar>
              <w:top w:w="90" w:type="dxa"/>
              <w:left w:w="90" w:type="dxa"/>
              <w:bottom w:w="90" w:type="dxa"/>
              <w:right w:w="90" w:type="dxa"/>
            </w:tcMar>
          </w:tcPr>
          <w:p w14:paraId="285501A0"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7FAFC"/>
            <w:tcMar>
              <w:top w:w="90" w:type="dxa"/>
              <w:left w:w="90" w:type="dxa"/>
              <w:bottom w:w="90" w:type="dxa"/>
              <w:right w:w="90" w:type="dxa"/>
            </w:tcMar>
          </w:tcPr>
          <w:p w14:paraId="602C1457"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176-34991</w:t>
            </w:r>
          </w:p>
        </w:tc>
        <w:tc>
          <w:tcPr>
            <w:tcW w:w="1337" w:type="dxa"/>
            <w:shd w:val="clear" w:color="auto" w:fill="F7FAFC"/>
            <w:tcMar>
              <w:top w:w="90" w:type="dxa"/>
              <w:left w:w="90" w:type="dxa"/>
              <w:bottom w:w="90" w:type="dxa"/>
              <w:right w:w="90" w:type="dxa"/>
            </w:tcMar>
          </w:tcPr>
          <w:p w14:paraId="161536CF"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Nemocón</w:t>
            </w:r>
          </w:p>
        </w:tc>
        <w:tc>
          <w:tcPr>
            <w:tcW w:w="1337" w:type="dxa"/>
            <w:shd w:val="clear" w:color="auto" w:fill="F7FAFC"/>
            <w:tcMar>
              <w:top w:w="90" w:type="dxa"/>
              <w:left w:w="90" w:type="dxa"/>
              <w:bottom w:w="90" w:type="dxa"/>
              <w:right w:w="90" w:type="dxa"/>
            </w:tcMar>
          </w:tcPr>
          <w:p w14:paraId="46E45793"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La Nación -Concesión salinas, Administrada Por El IFI</w:t>
            </w:r>
          </w:p>
        </w:tc>
        <w:tc>
          <w:tcPr>
            <w:tcW w:w="1337" w:type="dxa"/>
            <w:shd w:val="clear" w:color="auto" w:fill="F7FAFC"/>
            <w:tcMar>
              <w:top w:w="90" w:type="dxa"/>
              <w:left w:w="90" w:type="dxa"/>
              <w:bottom w:w="90" w:type="dxa"/>
              <w:right w:w="90" w:type="dxa"/>
            </w:tcMar>
          </w:tcPr>
          <w:p w14:paraId="41007AF8" w14:textId="77777777" w:rsidR="00965DCA" w:rsidRPr="00965DCA" w:rsidRDefault="00965DCA" w:rsidP="00965DCA">
            <w:pPr>
              <w:jc w:val="both"/>
              <w:rPr>
                <w:rFonts w:ascii="Arial" w:hAnsi="Arial" w:cs="Arial"/>
                <w:sz w:val="16"/>
                <w:szCs w:val="16"/>
              </w:rPr>
            </w:pPr>
          </w:p>
        </w:tc>
      </w:tr>
      <w:tr w:rsidR="00965DCA" w:rsidRPr="00965DCA" w14:paraId="26B13ADE" w14:textId="77777777" w:rsidTr="0037006D">
        <w:tc>
          <w:tcPr>
            <w:tcW w:w="1337" w:type="dxa"/>
            <w:shd w:val="clear" w:color="auto" w:fill="FFFFFF" w:themeFill="background1"/>
            <w:tcMar>
              <w:top w:w="90" w:type="dxa"/>
              <w:left w:w="90" w:type="dxa"/>
              <w:bottom w:w="90" w:type="dxa"/>
              <w:right w:w="90" w:type="dxa"/>
            </w:tcMar>
          </w:tcPr>
          <w:p w14:paraId="5084D769"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25</w:t>
            </w:r>
          </w:p>
        </w:tc>
        <w:tc>
          <w:tcPr>
            <w:tcW w:w="1337" w:type="dxa"/>
            <w:shd w:val="clear" w:color="auto" w:fill="FFFFFF" w:themeFill="background1"/>
            <w:tcMar>
              <w:top w:w="90" w:type="dxa"/>
              <w:left w:w="90" w:type="dxa"/>
              <w:bottom w:w="90" w:type="dxa"/>
              <w:right w:w="90" w:type="dxa"/>
            </w:tcMar>
          </w:tcPr>
          <w:p w14:paraId="1348C55E"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w:t>
            </w:r>
          </w:p>
        </w:tc>
        <w:tc>
          <w:tcPr>
            <w:tcW w:w="1337" w:type="dxa"/>
            <w:shd w:val="clear" w:color="auto" w:fill="FFFFFF" w:themeFill="background1"/>
            <w:tcMar>
              <w:top w:w="90" w:type="dxa"/>
              <w:left w:w="90" w:type="dxa"/>
              <w:bottom w:w="90" w:type="dxa"/>
              <w:right w:w="90" w:type="dxa"/>
            </w:tcMar>
          </w:tcPr>
          <w:p w14:paraId="69C8620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476610FE"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176-35206</w:t>
            </w:r>
          </w:p>
        </w:tc>
        <w:tc>
          <w:tcPr>
            <w:tcW w:w="1337" w:type="dxa"/>
            <w:shd w:val="clear" w:color="auto" w:fill="FFFFFF" w:themeFill="background1"/>
            <w:tcMar>
              <w:top w:w="90" w:type="dxa"/>
              <w:left w:w="90" w:type="dxa"/>
              <w:bottom w:w="90" w:type="dxa"/>
              <w:right w:w="90" w:type="dxa"/>
            </w:tcMar>
          </w:tcPr>
          <w:p w14:paraId="31A6C7AD"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Nemocón</w:t>
            </w:r>
          </w:p>
        </w:tc>
        <w:tc>
          <w:tcPr>
            <w:tcW w:w="1337" w:type="dxa"/>
            <w:shd w:val="clear" w:color="auto" w:fill="FFFFFF" w:themeFill="background1"/>
            <w:tcMar>
              <w:top w:w="90" w:type="dxa"/>
              <w:left w:w="90" w:type="dxa"/>
              <w:bottom w:w="90" w:type="dxa"/>
              <w:right w:w="90" w:type="dxa"/>
            </w:tcMar>
          </w:tcPr>
          <w:p w14:paraId="664704CC"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La Nación -Concesión Salinas, Administrada Por El IFI</w:t>
            </w:r>
          </w:p>
        </w:tc>
        <w:tc>
          <w:tcPr>
            <w:tcW w:w="1337" w:type="dxa"/>
            <w:shd w:val="clear" w:color="auto" w:fill="FFFFFF" w:themeFill="background1"/>
            <w:tcMar>
              <w:top w:w="90" w:type="dxa"/>
              <w:left w:w="90" w:type="dxa"/>
              <w:bottom w:w="90" w:type="dxa"/>
              <w:right w:w="90" w:type="dxa"/>
            </w:tcMar>
          </w:tcPr>
          <w:p w14:paraId="4D8FF4DA" w14:textId="77777777" w:rsidR="00965DCA" w:rsidRPr="00965DCA" w:rsidRDefault="00965DCA" w:rsidP="00965DCA">
            <w:pPr>
              <w:jc w:val="both"/>
              <w:rPr>
                <w:rFonts w:ascii="Arial" w:hAnsi="Arial" w:cs="Arial"/>
                <w:sz w:val="16"/>
                <w:szCs w:val="16"/>
              </w:rPr>
            </w:pPr>
          </w:p>
        </w:tc>
      </w:tr>
      <w:tr w:rsidR="00965DCA" w:rsidRPr="00965DCA" w14:paraId="07FA11E1" w14:textId="77777777" w:rsidTr="0037006D">
        <w:tc>
          <w:tcPr>
            <w:tcW w:w="1337" w:type="dxa"/>
            <w:shd w:val="clear" w:color="auto" w:fill="F7FAFC"/>
            <w:tcMar>
              <w:top w:w="90" w:type="dxa"/>
              <w:left w:w="90" w:type="dxa"/>
              <w:bottom w:w="90" w:type="dxa"/>
              <w:right w:w="90" w:type="dxa"/>
            </w:tcMar>
          </w:tcPr>
          <w:p w14:paraId="782C3129"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26</w:t>
            </w:r>
          </w:p>
        </w:tc>
        <w:tc>
          <w:tcPr>
            <w:tcW w:w="1337" w:type="dxa"/>
            <w:shd w:val="clear" w:color="auto" w:fill="F7FAFC"/>
            <w:tcMar>
              <w:top w:w="90" w:type="dxa"/>
              <w:left w:w="90" w:type="dxa"/>
              <w:bottom w:w="90" w:type="dxa"/>
              <w:right w:w="90" w:type="dxa"/>
            </w:tcMar>
          </w:tcPr>
          <w:p w14:paraId="5266DBEB"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25</w:t>
            </w:r>
          </w:p>
        </w:tc>
        <w:tc>
          <w:tcPr>
            <w:tcW w:w="1337" w:type="dxa"/>
            <w:shd w:val="clear" w:color="auto" w:fill="F7FAFC"/>
            <w:tcMar>
              <w:top w:w="90" w:type="dxa"/>
              <w:left w:w="90" w:type="dxa"/>
              <w:bottom w:w="90" w:type="dxa"/>
              <w:right w:w="90" w:type="dxa"/>
            </w:tcMar>
          </w:tcPr>
          <w:p w14:paraId="4F0FA11C"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7FAFC"/>
            <w:tcMar>
              <w:top w:w="90" w:type="dxa"/>
              <w:left w:w="90" w:type="dxa"/>
              <w:bottom w:w="90" w:type="dxa"/>
              <w:right w:w="90" w:type="dxa"/>
            </w:tcMar>
          </w:tcPr>
          <w:p w14:paraId="25A487BD"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176-35207</w:t>
            </w:r>
          </w:p>
        </w:tc>
        <w:tc>
          <w:tcPr>
            <w:tcW w:w="1337" w:type="dxa"/>
            <w:shd w:val="clear" w:color="auto" w:fill="F7FAFC"/>
            <w:tcMar>
              <w:top w:w="90" w:type="dxa"/>
              <w:left w:w="90" w:type="dxa"/>
              <w:bottom w:w="90" w:type="dxa"/>
              <w:right w:w="90" w:type="dxa"/>
            </w:tcMar>
          </w:tcPr>
          <w:p w14:paraId="33F82BF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Nemocón</w:t>
            </w:r>
          </w:p>
        </w:tc>
        <w:tc>
          <w:tcPr>
            <w:tcW w:w="1337" w:type="dxa"/>
            <w:shd w:val="clear" w:color="auto" w:fill="F7FAFC"/>
            <w:tcMar>
              <w:top w:w="90" w:type="dxa"/>
              <w:left w:w="90" w:type="dxa"/>
              <w:bottom w:w="90" w:type="dxa"/>
              <w:right w:w="90" w:type="dxa"/>
            </w:tcMar>
          </w:tcPr>
          <w:p w14:paraId="52BB4F1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La Nación -Concesión Salinas, Administrada Por El IFI</w:t>
            </w:r>
          </w:p>
        </w:tc>
        <w:tc>
          <w:tcPr>
            <w:tcW w:w="1337" w:type="dxa"/>
            <w:shd w:val="clear" w:color="auto" w:fill="F7FAFC"/>
            <w:tcMar>
              <w:top w:w="90" w:type="dxa"/>
              <w:left w:w="90" w:type="dxa"/>
              <w:bottom w:w="90" w:type="dxa"/>
              <w:right w:w="90" w:type="dxa"/>
            </w:tcMar>
          </w:tcPr>
          <w:p w14:paraId="76D5ED35" w14:textId="77777777" w:rsidR="00965DCA" w:rsidRPr="00965DCA" w:rsidRDefault="00965DCA" w:rsidP="00965DCA">
            <w:pPr>
              <w:jc w:val="both"/>
              <w:rPr>
                <w:rFonts w:ascii="Arial" w:hAnsi="Arial" w:cs="Arial"/>
                <w:sz w:val="16"/>
                <w:szCs w:val="16"/>
              </w:rPr>
            </w:pPr>
          </w:p>
        </w:tc>
      </w:tr>
      <w:tr w:rsidR="00965DCA" w:rsidRPr="00965DCA" w14:paraId="41781F35" w14:textId="77777777" w:rsidTr="0037006D">
        <w:tc>
          <w:tcPr>
            <w:tcW w:w="1337" w:type="dxa"/>
            <w:shd w:val="clear" w:color="auto" w:fill="FFFFFF" w:themeFill="background1"/>
            <w:tcMar>
              <w:top w:w="90" w:type="dxa"/>
              <w:left w:w="90" w:type="dxa"/>
              <w:bottom w:w="90" w:type="dxa"/>
              <w:right w:w="90" w:type="dxa"/>
            </w:tcMar>
          </w:tcPr>
          <w:p w14:paraId="1F8C8F8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27</w:t>
            </w:r>
          </w:p>
        </w:tc>
        <w:tc>
          <w:tcPr>
            <w:tcW w:w="1337" w:type="dxa"/>
            <w:shd w:val="clear" w:color="auto" w:fill="FFFFFF" w:themeFill="background1"/>
            <w:tcMar>
              <w:top w:w="90" w:type="dxa"/>
              <w:left w:w="90" w:type="dxa"/>
              <w:bottom w:w="90" w:type="dxa"/>
              <w:right w:w="90" w:type="dxa"/>
            </w:tcMar>
          </w:tcPr>
          <w:p w14:paraId="6E6AD6A7"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28</w:t>
            </w:r>
          </w:p>
        </w:tc>
        <w:tc>
          <w:tcPr>
            <w:tcW w:w="1337" w:type="dxa"/>
            <w:shd w:val="clear" w:color="auto" w:fill="FFFFFF" w:themeFill="background1"/>
            <w:tcMar>
              <w:top w:w="90" w:type="dxa"/>
              <w:left w:w="90" w:type="dxa"/>
              <w:bottom w:w="90" w:type="dxa"/>
              <w:right w:w="90" w:type="dxa"/>
            </w:tcMar>
          </w:tcPr>
          <w:p w14:paraId="13B9AFBE"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03/09/2008</w:t>
            </w:r>
          </w:p>
        </w:tc>
        <w:tc>
          <w:tcPr>
            <w:tcW w:w="1337" w:type="dxa"/>
            <w:shd w:val="clear" w:color="auto" w:fill="FFFFFF" w:themeFill="background1"/>
            <w:tcMar>
              <w:top w:w="90" w:type="dxa"/>
              <w:left w:w="90" w:type="dxa"/>
              <w:bottom w:w="90" w:type="dxa"/>
              <w:right w:w="90" w:type="dxa"/>
            </w:tcMar>
          </w:tcPr>
          <w:p w14:paraId="5597D53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176-35290</w:t>
            </w:r>
          </w:p>
        </w:tc>
        <w:tc>
          <w:tcPr>
            <w:tcW w:w="1337" w:type="dxa"/>
            <w:shd w:val="clear" w:color="auto" w:fill="FFFFFF" w:themeFill="background1"/>
            <w:tcMar>
              <w:top w:w="90" w:type="dxa"/>
              <w:left w:w="90" w:type="dxa"/>
              <w:bottom w:w="90" w:type="dxa"/>
              <w:right w:w="90" w:type="dxa"/>
            </w:tcMar>
          </w:tcPr>
          <w:p w14:paraId="3CDBFDAB"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Nemocón</w:t>
            </w:r>
          </w:p>
        </w:tc>
        <w:tc>
          <w:tcPr>
            <w:tcW w:w="1337" w:type="dxa"/>
            <w:shd w:val="clear" w:color="auto" w:fill="FFFFFF" w:themeFill="background1"/>
            <w:tcMar>
              <w:top w:w="90" w:type="dxa"/>
              <w:left w:w="90" w:type="dxa"/>
              <w:bottom w:w="90" w:type="dxa"/>
              <w:right w:w="90" w:type="dxa"/>
            </w:tcMar>
          </w:tcPr>
          <w:p w14:paraId="5E9F5CA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Concesión Salinas</w:t>
            </w:r>
          </w:p>
        </w:tc>
        <w:tc>
          <w:tcPr>
            <w:tcW w:w="1337" w:type="dxa"/>
            <w:shd w:val="clear" w:color="auto" w:fill="FFFFFF" w:themeFill="background1"/>
            <w:tcMar>
              <w:top w:w="90" w:type="dxa"/>
              <w:left w:w="90" w:type="dxa"/>
              <w:bottom w:w="90" w:type="dxa"/>
              <w:right w:w="90" w:type="dxa"/>
            </w:tcMar>
          </w:tcPr>
          <w:p w14:paraId="22B2D3E8" w14:textId="77777777" w:rsidR="00965DCA" w:rsidRPr="00965DCA" w:rsidRDefault="00965DCA" w:rsidP="00965DCA">
            <w:pPr>
              <w:jc w:val="both"/>
              <w:rPr>
                <w:rFonts w:ascii="Arial" w:hAnsi="Arial" w:cs="Arial"/>
                <w:sz w:val="16"/>
                <w:szCs w:val="16"/>
              </w:rPr>
            </w:pPr>
          </w:p>
        </w:tc>
      </w:tr>
      <w:tr w:rsidR="00965DCA" w:rsidRPr="00965DCA" w14:paraId="27BBE950" w14:textId="77777777" w:rsidTr="0037006D">
        <w:tc>
          <w:tcPr>
            <w:tcW w:w="1337" w:type="dxa"/>
            <w:shd w:val="clear" w:color="auto" w:fill="F7FAFC"/>
            <w:tcMar>
              <w:top w:w="90" w:type="dxa"/>
              <w:left w:w="90" w:type="dxa"/>
              <w:bottom w:w="90" w:type="dxa"/>
              <w:right w:w="90" w:type="dxa"/>
            </w:tcMar>
          </w:tcPr>
          <w:p w14:paraId="38520960"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28</w:t>
            </w:r>
          </w:p>
        </w:tc>
        <w:tc>
          <w:tcPr>
            <w:tcW w:w="1337" w:type="dxa"/>
            <w:shd w:val="clear" w:color="auto" w:fill="F7FAFC"/>
            <w:tcMar>
              <w:top w:w="90" w:type="dxa"/>
              <w:left w:w="90" w:type="dxa"/>
              <w:bottom w:w="90" w:type="dxa"/>
              <w:right w:w="90" w:type="dxa"/>
            </w:tcMar>
          </w:tcPr>
          <w:p w14:paraId="3E3E688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6</w:t>
            </w:r>
          </w:p>
        </w:tc>
        <w:tc>
          <w:tcPr>
            <w:tcW w:w="1337" w:type="dxa"/>
            <w:shd w:val="clear" w:color="auto" w:fill="F7FAFC"/>
            <w:tcMar>
              <w:top w:w="90" w:type="dxa"/>
              <w:left w:w="90" w:type="dxa"/>
              <w:bottom w:w="90" w:type="dxa"/>
              <w:right w:w="90" w:type="dxa"/>
            </w:tcMar>
          </w:tcPr>
          <w:p w14:paraId="7B3D469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7FAFC"/>
            <w:tcMar>
              <w:top w:w="90" w:type="dxa"/>
              <w:left w:w="90" w:type="dxa"/>
              <w:bottom w:w="90" w:type="dxa"/>
              <w:right w:w="90" w:type="dxa"/>
            </w:tcMar>
          </w:tcPr>
          <w:p w14:paraId="78CA854B"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176-36030</w:t>
            </w:r>
          </w:p>
        </w:tc>
        <w:tc>
          <w:tcPr>
            <w:tcW w:w="1337" w:type="dxa"/>
            <w:shd w:val="clear" w:color="auto" w:fill="F7FAFC"/>
            <w:tcMar>
              <w:top w:w="90" w:type="dxa"/>
              <w:left w:w="90" w:type="dxa"/>
              <w:bottom w:w="90" w:type="dxa"/>
              <w:right w:w="90" w:type="dxa"/>
            </w:tcMar>
          </w:tcPr>
          <w:p w14:paraId="0C687820"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Nemocón</w:t>
            </w:r>
          </w:p>
        </w:tc>
        <w:tc>
          <w:tcPr>
            <w:tcW w:w="1337" w:type="dxa"/>
            <w:shd w:val="clear" w:color="auto" w:fill="F7FAFC"/>
            <w:tcMar>
              <w:top w:w="90" w:type="dxa"/>
              <w:left w:w="90" w:type="dxa"/>
              <w:bottom w:w="90" w:type="dxa"/>
              <w:right w:w="90" w:type="dxa"/>
            </w:tcMar>
          </w:tcPr>
          <w:p w14:paraId="1ED50A1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La Nación -Concesión Salinas, Administrada Por El IFI</w:t>
            </w:r>
          </w:p>
        </w:tc>
        <w:tc>
          <w:tcPr>
            <w:tcW w:w="1337" w:type="dxa"/>
            <w:shd w:val="clear" w:color="auto" w:fill="F7FAFC"/>
            <w:tcMar>
              <w:top w:w="90" w:type="dxa"/>
              <w:left w:w="90" w:type="dxa"/>
              <w:bottom w:w="90" w:type="dxa"/>
              <w:right w:w="90" w:type="dxa"/>
            </w:tcMar>
          </w:tcPr>
          <w:p w14:paraId="6DEFE89E" w14:textId="77777777" w:rsidR="00965DCA" w:rsidRPr="00965DCA" w:rsidRDefault="00965DCA" w:rsidP="00965DCA">
            <w:pPr>
              <w:jc w:val="both"/>
              <w:rPr>
                <w:rFonts w:ascii="Arial" w:hAnsi="Arial" w:cs="Arial"/>
                <w:sz w:val="16"/>
                <w:szCs w:val="16"/>
              </w:rPr>
            </w:pPr>
          </w:p>
        </w:tc>
      </w:tr>
      <w:tr w:rsidR="00965DCA" w:rsidRPr="00965DCA" w14:paraId="51F5C693" w14:textId="77777777" w:rsidTr="0037006D">
        <w:tc>
          <w:tcPr>
            <w:tcW w:w="1337" w:type="dxa"/>
            <w:shd w:val="clear" w:color="auto" w:fill="FFFFFF" w:themeFill="background1"/>
            <w:tcMar>
              <w:top w:w="90" w:type="dxa"/>
              <w:left w:w="90" w:type="dxa"/>
              <w:bottom w:w="90" w:type="dxa"/>
              <w:right w:w="90" w:type="dxa"/>
            </w:tcMar>
          </w:tcPr>
          <w:p w14:paraId="6EF27BE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29</w:t>
            </w:r>
          </w:p>
        </w:tc>
        <w:tc>
          <w:tcPr>
            <w:tcW w:w="1337" w:type="dxa"/>
            <w:shd w:val="clear" w:color="auto" w:fill="FFFFFF" w:themeFill="background1"/>
            <w:tcMar>
              <w:top w:w="90" w:type="dxa"/>
              <w:left w:w="90" w:type="dxa"/>
              <w:bottom w:w="90" w:type="dxa"/>
              <w:right w:w="90" w:type="dxa"/>
            </w:tcMar>
          </w:tcPr>
          <w:p w14:paraId="67881E9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18</w:t>
            </w:r>
          </w:p>
        </w:tc>
        <w:tc>
          <w:tcPr>
            <w:tcW w:w="1337" w:type="dxa"/>
            <w:shd w:val="clear" w:color="auto" w:fill="FFFFFF" w:themeFill="background1"/>
            <w:tcMar>
              <w:top w:w="90" w:type="dxa"/>
              <w:left w:w="90" w:type="dxa"/>
              <w:bottom w:w="90" w:type="dxa"/>
              <w:right w:w="90" w:type="dxa"/>
            </w:tcMar>
          </w:tcPr>
          <w:p w14:paraId="6C0A6064"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21/08/2008</w:t>
            </w:r>
          </w:p>
        </w:tc>
        <w:tc>
          <w:tcPr>
            <w:tcW w:w="1337" w:type="dxa"/>
            <w:shd w:val="clear" w:color="auto" w:fill="FFFFFF" w:themeFill="background1"/>
            <w:tcMar>
              <w:top w:w="90" w:type="dxa"/>
              <w:left w:w="90" w:type="dxa"/>
              <w:bottom w:w="90" w:type="dxa"/>
              <w:right w:w="90" w:type="dxa"/>
            </w:tcMar>
          </w:tcPr>
          <w:p w14:paraId="6520DED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176-36045</w:t>
            </w:r>
          </w:p>
        </w:tc>
        <w:tc>
          <w:tcPr>
            <w:tcW w:w="1337" w:type="dxa"/>
            <w:shd w:val="clear" w:color="auto" w:fill="FFFFFF" w:themeFill="background1"/>
            <w:tcMar>
              <w:top w:w="90" w:type="dxa"/>
              <w:left w:w="90" w:type="dxa"/>
              <w:bottom w:w="90" w:type="dxa"/>
              <w:right w:w="90" w:type="dxa"/>
            </w:tcMar>
          </w:tcPr>
          <w:p w14:paraId="39123B38"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Nemocón</w:t>
            </w:r>
          </w:p>
        </w:tc>
        <w:tc>
          <w:tcPr>
            <w:tcW w:w="1337" w:type="dxa"/>
            <w:shd w:val="clear" w:color="auto" w:fill="FFFFFF" w:themeFill="background1"/>
            <w:tcMar>
              <w:top w:w="90" w:type="dxa"/>
              <w:left w:w="90" w:type="dxa"/>
              <w:bottom w:w="90" w:type="dxa"/>
              <w:right w:w="90" w:type="dxa"/>
            </w:tcMar>
          </w:tcPr>
          <w:p w14:paraId="0B76AE03"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Instituto De Fomento Industrial Concesión Salinas</w:t>
            </w:r>
          </w:p>
        </w:tc>
        <w:tc>
          <w:tcPr>
            <w:tcW w:w="1337" w:type="dxa"/>
            <w:shd w:val="clear" w:color="auto" w:fill="FFFFFF" w:themeFill="background1"/>
            <w:tcMar>
              <w:top w:w="90" w:type="dxa"/>
              <w:left w:w="90" w:type="dxa"/>
              <w:bottom w:w="90" w:type="dxa"/>
              <w:right w:w="90" w:type="dxa"/>
            </w:tcMar>
          </w:tcPr>
          <w:p w14:paraId="62FE5452" w14:textId="77777777" w:rsidR="00965DCA" w:rsidRPr="00965DCA" w:rsidRDefault="00965DCA" w:rsidP="00965DCA">
            <w:pPr>
              <w:jc w:val="both"/>
              <w:rPr>
                <w:rFonts w:ascii="Arial" w:hAnsi="Arial" w:cs="Arial"/>
                <w:sz w:val="16"/>
                <w:szCs w:val="16"/>
              </w:rPr>
            </w:pPr>
          </w:p>
        </w:tc>
      </w:tr>
      <w:tr w:rsidR="00965DCA" w:rsidRPr="00965DCA" w14:paraId="41172D13" w14:textId="77777777" w:rsidTr="0037006D">
        <w:tc>
          <w:tcPr>
            <w:tcW w:w="1337" w:type="dxa"/>
            <w:shd w:val="clear" w:color="auto" w:fill="F7FAFC"/>
            <w:tcMar>
              <w:top w:w="90" w:type="dxa"/>
              <w:left w:w="90" w:type="dxa"/>
              <w:bottom w:w="90" w:type="dxa"/>
              <w:right w:w="90" w:type="dxa"/>
            </w:tcMar>
          </w:tcPr>
          <w:p w14:paraId="5CCFC7BF"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30</w:t>
            </w:r>
          </w:p>
        </w:tc>
        <w:tc>
          <w:tcPr>
            <w:tcW w:w="1337" w:type="dxa"/>
            <w:shd w:val="clear" w:color="auto" w:fill="F7FAFC"/>
            <w:tcMar>
              <w:top w:w="90" w:type="dxa"/>
              <w:left w:w="90" w:type="dxa"/>
              <w:bottom w:w="90" w:type="dxa"/>
              <w:right w:w="90" w:type="dxa"/>
            </w:tcMar>
          </w:tcPr>
          <w:p w14:paraId="2A2EDC21"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30</w:t>
            </w:r>
          </w:p>
        </w:tc>
        <w:tc>
          <w:tcPr>
            <w:tcW w:w="1337" w:type="dxa"/>
            <w:shd w:val="clear" w:color="auto" w:fill="F7FAFC"/>
            <w:tcMar>
              <w:top w:w="90" w:type="dxa"/>
              <w:left w:w="90" w:type="dxa"/>
              <w:bottom w:w="90" w:type="dxa"/>
              <w:right w:w="90" w:type="dxa"/>
            </w:tcMar>
          </w:tcPr>
          <w:p w14:paraId="62BFAD7C"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03/09/2008</w:t>
            </w:r>
          </w:p>
        </w:tc>
        <w:tc>
          <w:tcPr>
            <w:tcW w:w="1337" w:type="dxa"/>
            <w:shd w:val="clear" w:color="auto" w:fill="F7FAFC"/>
            <w:tcMar>
              <w:top w:w="90" w:type="dxa"/>
              <w:left w:w="90" w:type="dxa"/>
              <w:bottom w:w="90" w:type="dxa"/>
              <w:right w:w="90" w:type="dxa"/>
            </w:tcMar>
          </w:tcPr>
          <w:p w14:paraId="6E6F6388" w14:textId="77777777" w:rsidR="00965DCA" w:rsidRPr="00965DCA" w:rsidRDefault="00965DCA" w:rsidP="00965DCA">
            <w:pPr>
              <w:jc w:val="both"/>
              <w:rPr>
                <w:rFonts w:ascii="Arial" w:hAnsi="Arial" w:cs="Arial"/>
                <w:sz w:val="16"/>
                <w:szCs w:val="16"/>
                <w:u w:val="single"/>
              </w:rPr>
            </w:pPr>
            <w:r w:rsidRPr="00965DCA">
              <w:rPr>
                <w:rFonts w:ascii="Arial" w:hAnsi="Arial" w:cs="Arial"/>
                <w:sz w:val="16"/>
                <w:szCs w:val="16"/>
                <w:u w:val="single"/>
              </w:rPr>
              <w:t>0001-0006-0018</w:t>
            </w:r>
          </w:p>
        </w:tc>
        <w:tc>
          <w:tcPr>
            <w:tcW w:w="1337" w:type="dxa"/>
            <w:shd w:val="clear" w:color="auto" w:fill="F7FAFC"/>
            <w:tcMar>
              <w:top w:w="90" w:type="dxa"/>
              <w:left w:w="90" w:type="dxa"/>
              <w:bottom w:w="90" w:type="dxa"/>
              <w:right w:w="90" w:type="dxa"/>
            </w:tcMar>
          </w:tcPr>
          <w:p w14:paraId="424A516A"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Nemocón</w:t>
            </w:r>
          </w:p>
        </w:tc>
        <w:tc>
          <w:tcPr>
            <w:tcW w:w="1337" w:type="dxa"/>
            <w:shd w:val="clear" w:color="auto" w:fill="F7FAFC"/>
            <w:tcMar>
              <w:top w:w="90" w:type="dxa"/>
              <w:left w:w="90" w:type="dxa"/>
              <w:bottom w:w="90" w:type="dxa"/>
              <w:right w:w="90" w:type="dxa"/>
            </w:tcMar>
          </w:tcPr>
          <w:p w14:paraId="382236D6" w14:textId="77777777" w:rsidR="00965DCA" w:rsidRPr="00965DCA" w:rsidRDefault="00965DCA" w:rsidP="00965DCA">
            <w:pPr>
              <w:jc w:val="both"/>
              <w:rPr>
                <w:rFonts w:ascii="Arial" w:hAnsi="Arial" w:cs="Arial"/>
                <w:sz w:val="16"/>
                <w:szCs w:val="16"/>
              </w:rPr>
            </w:pPr>
            <w:r w:rsidRPr="00965DCA">
              <w:rPr>
                <w:rFonts w:ascii="Arial" w:hAnsi="Arial" w:cs="Arial"/>
                <w:sz w:val="16"/>
                <w:szCs w:val="16"/>
              </w:rPr>
              <w:t>N/A</w:t>
            </w:r>
          </w:p>
        </w:tc>
        <w:tc>
          <w:tcPr>
            <w:tcW w:w="1337" w:type="dxa"/>
            <w:shd w:val="clear" w:color="auto" w:fill="F7FAFC"/>
            <w:tcMar>
              <w:top w:w="90" w:type="dxa"/>
              <w:left w:w="90" w:type="dxa"/>
              <w:bottom w:w="90" w:type="dxa"/>
              <w:right w:w="90" w:type="dxa"/>
            </w:tcMar>
          </w:tcPr>
          <w:p w14:paraId="139E75BA" w14:textId="77777777" w:rsidR="00965DCA" w:rsidRPr="00965DCA" w:rsidRDefault="00965DCA" w:rsidP="00965DCA">
            <w:pPr>
              <w:jc w:val="both"/>
              <w:rPr>
                <w:rFonts w:ascii="Arial" w:hAnsi="Arial" w:cs="Arial"/>
                <w:b/>
                <w:bCs/>
                <w:sz w:val="16"/>
                <w:szCs w:val="16"/>
              </w:rPr>
            </w:pPr>
            <w:r w:rsidRPr="00965DCA">
              <w:rPr>
                <w:rFonts w:ascii="Arial" w:hAnsi="Arial" w:cs="Arial"/>
                <w:b/>
                <w:bCs/>
                <w:sz w:val="16"/>
                <w:szCs w:val="16"/>
              </w:rPr>
              <w:t xml:space="preserve">Únicamente cuenta con Cédula Catastral. Requiere </w:t>
            </w:r>
            <w:r w:rsidRPr="00965DCA">
              <w:rPr>
                <w:rFonts w:ascii="Arial" w:hAnsi="Arial" w:cs="Arial"/>
                <w:b/>
                <w:bCs/>
                <w:sz w:val="16"/>
                <w:szCs w:val="16"/>
              </w:rPr>
              <w:lastRenderedPageBreak/>
              <w:t>trámite de apertura de FMI.</w:t>
            </w:r>
          </w:p>
        </w:tc>
      </w:tr>
    </w:tbl>
    <w:p w14:paraId="3128F6D6" w14:textId="77777777" w:rsidR="00965DCA" w:rsidRPr="00965DCA" w:rsidRDefault="00965DCA" w:rsidP="00965DCA">
      <w:pPr>
        <w:ind w:left="1080"/>
        <w:jc w:val="both"/>
        <w:rPr>
          <w:rFonts w:ascii="Arial" w:hAnsi="Arial" w:cs="Arial"/>
          <w:b/>
          <w:bCs/>
          <w:sz w:val="24"/>
          <w:szCs w:val="24"/>
        </w:rPr>
      </w:pPr>
    </w:p>
    <w:p w14:paraId="0B924DC8"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De acuerdo con lo anterior, el equipo de Activos Inmobiliarios del Grupo de Gestión Administrativa, conformó un expediente técnico y jurídico individual para cada uno de los predios analizados, integrado por la documentación soporte correspondiente a escrituras públicas, actas de entrega, certificados de tradición y libertad (VUR), planos, información tributaria, consultas catastrales, bases gráficas del Instituto Geográfico Agustín Codazzi (IGAC) vigencias 2017; de la Agencia Catastral de Cundinamarca vigencia 2025 y del Municipio de Zipaquirá vigencia 2025, así como la información alfanumérica derivada de los registros catastrales R1 y R2. Con base en esta documentación se adelantó análisis jurídico y catastral, el cual se encuentra incorporado en los formatos T-GC-F-40 “FORMATO INFORME TÉCNICO JURÍDICO - CATASTRAL, el cual se diligenció por cada uno de los predios. Dicho análisis permitió identificar inconsistencias entre la información registral, catastral y documental de algunos inmuebles, así como situaciones particulares relacionadas con cambios de nomenclatura predial, segregaciones, ventas parciales y diferencias entre la representación gráfica y la realidad jurídica de los bienes.</w:t>
      </w:r>
    </w:p>
    <w:p w14:paraId="5A957DBD"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 xml:space="preserve">De acuerdo con lo anterior, se recomienda que dichos expedientes sean adoptados como el soporte oficial para las actuaciones posteriores de saneamiento predial, garantizando su actualización conforme avancen los procesos registrales y catastrales que se adelanten sobre cada inmueble. </w:t>
      </w:r>
    </w:p>
    <w:p w14:paraId="34059EDE" w14:textId="77777777" w:rsidR="00965DCA" w:rsidRPr="00965DCA" w:rsidRDefault="00965DCA" w:rsidP="00965DCA">
      <w:pPr>
        <w:jc w:val="both"/>
        <w:rPr>
          <w:rFonts w:ascii="Arial" w:hAnsi="Arial" w:cs="Arial"/>
          <w:sz w:val="24"/>
          <w:szCs w:val="24"/>
        </w:rPr>
      </w:pPr>
    </w:p>
    <w:p w14:paraId="56AC7101" w14:textId="77777777" w:rsidR="00965DCA" w:rsidRPr="00965DCA" w:rsidRDefault="00965DCA" w:rsidP="00965DCA">
      <w:pPr>
        <w:pStyle w:val="Prrafodelista"/>
        <w:numPr>
          <w:ilvl w:val="0"/>
          <w:numId w:val="4"/>
        </w:numPr>
        <w:spacing w:after="200" w:line="276" w:lineRule="auto"/>
        <w:jc w:val="both"/>
        <w:rPr>
          <w:b/>
          <w:bCs/>
          <w:sz w:val="24"/>
          <w:szCs w:val="24"/>
        </w:rPr>
      </w:pPr>
      <w:r w:rsidRPr="00965DCA">
        <w:rPr>
          <w:b/>
          <w:bCs/>
          <w:sz w:val="24"/>
          <w:szCs w:val="24"/>
        </w:rPr>
        <w:t>ALTERNATIVAS JURÍDICAS Y ADMINISTRATIVAS DE SANEAMIENTO</w:t>
      </w:r>
    </w:p>
    <w:p w14:paraId="307822B5" w14:textId="77777777" w:rsidR="00965DCA" w:rsidRPr="00965DCA" w:rsidRDefault="00965DCA" w:rsidP="00965DCA">
      <w:pPr>
        <w:pStyle w:val="Prrafodelista"/>
        <w:spacing w:after="200" w:line="276" w:lineRule="auto"/>
        <w:ind w:left="1080"/>
        <w:jc w:val="both"/>
        <w:rPr>
          <w:sz w:val="24"/>
          <w:szCs w:val="24"/>
        </w:rPr>
      </w:pPr>
    </w:p>
    <w:p w14:paraId="04930554" w14:textId="53447DD9" w:rsidR="00965DCA" w:rsidRPr="00965DCA" w:rsidRDefault="00965DCA" w:rsidP="00965DCA">
      <w:pPr>
        <w:jc w:val="both"/>
        <w:rPr>
          <w:rFonts w:ascii="Arial" w:hAnsi="Arial" w:cs="Arial"/>
          <w:b/>
          <w:bCs/>
          <w:sz w:val="24"/>
          <w:szCs w:val="24"/>
        </w:rPr>
      </w:pPr>
      <w:r w:rsidRPr="00965DCA">
        <w:rPr>
          <w:rFonts w:ascii="Arial" w:hAnsi="Arial" w:cs="Arial"/>
          <w:b/>
          <w:bCs/>
          <w:sz w:val="24"/>
          <w:szCs w:val="24"/>
        </w:rPr>
        <w:t>Ruta 1: Trámite Registral -Vía Ordinaria</w:t>
      </w:r>
    </w:p>
    <w:p w14:paraId="174007D0" w14:textId="77777777" w:rsidR="00965DCA" w:rsidRPr="00965DCA" w:rsidRDefault="00965DCA" w:rsidP="00965DCA">
      <w:pPr>
        <w:jc w:val="both"/>
        <w:rPr>
          <w:rFonts w:ascii="Arial" w:hAnsi="Arial" w:cs="Arial"/>
          <w:sz w:val="24"/>
          <w:szCs w:val="24"/>
        </w:rPr>
      </w:pPr>
      <w:r w:rsidRPr="00965DCA">
        <w:rPr>
          <w:rFonts w:ascii="Arial" w:hAnsi="Arial" w:cs="Arial"/>
          <w:sz w:val="24"/>
          <w:szCs w:val="24"/>
        </w:rPr>
        <w:t xml:space="preserve">Consiste en activar el procedimiento previsto en el artículo 14 de la Ley 1579 de 2012. Se realizaría radicación ante la ORIP de Zipaquirá y en caso de una nota devolutiva, el </w:t>
      </w:r>
      <w:r w:rsidRPr="00965DCA">
        <w:rPr>
          <w:rFonts w:ascii="Arial" w:hAnsi="Arial" w:cs="Arial"/>
          <w:sz w:val="24"/>
          <w:szCs w:val="24"/>
        </w:rPr>
        <w:lastRenderedPageBreak/>
        <w:t xml:space="preserve">Ministerio analizará si los aspectos que se señalen son subsanables o no. En este último caso, se optaría por una ruta alterna. </w:t>
      </w:r>
    </w:p>
    <w:p w14:paraId="3E2F604B" w14:textId="77777777" w:rsidR="00965DCA" w:rsidRPr="00965DCA" w:rsidRDefault="00965DCA" w:rsidP="00965DCA">
      <w:pPr>
        <w:jc w:val="both"/>
        <w:rPr>
          <w:rFonts w:ascii="Arial" w:hAnsi="Arial" w:cs="Arial"/>
          <w:sz w:val="24"/>
          <w:szCs w:val="24"/>
        </w:rPr>
      </w:pPr>
      <w:r w:rsidRPr="00965DCA">
        <w:rPr>
          <w:rFonts w:ascii="Arial" w:hAnsi="Arial" w:cs="Arial"/>
          <w:sz w:val="24"/>
          <w:szCs w:val="24"/>
        </w:rPr>
        <w:t>Para lo anterior, La Subdirección Administrativa y Financiero solicitó formalmente al Ministerio de Comercio, Industria y Turismo (MinCIT) —entidad sucesora de los archivos del IFI según el artículo 23 del Decreto 2590 de 2003— la expedición de copias auténticas especiales y constancias de ejecutoria de las actas de 2008.  Esto mediante Radicados 2-2026-012448 y 2-2026-020995, del 13 de abril y 14 de mayo de 2026, respectivamente. No obstante, a la fecha, no se ha allegado respuesta completa por parte del Ministerio de Industria y Comercio, pues hacen falta tres (3) copias auténticas de los actos y todas las constancias de ejecutoría.</w:t>
      </w:r>
    </w:p>
    <w:p w14:paraId="746F2B99" w14:textId="77777777" w:rsidR="00965DCA" w:rsidRPr="00965DCA" w:rsidRDefault="00965DCA" w:rsidP="00965DCA">
      <w:pPr>
        <w:jc w:val="both"/>
        <w:rPr>
          <w:rFonts w:ascii="Arial" w:hAnsi="Arial" w:cs="Arial"/>
          <w:color w:val="8496B0" w:themeColor="text2" w:themeTint="99"/>
          <w:sz w:val="24"/>
          <w:szCs w:val="24"/>
        </w:rPr>
      </w:pPr>
      <w:r w:rsidRPr="00965DCA">
        <w:rPr>
          <w:rFonts w:ascii="Arial" w:hAnsi="Arial" w:cs="Arial"/>
          <w:sz w:val="24"/>
          <w:szCs w:val="24"/>
        </w:rPr>
        <w:t xml:space="preserve">Adicionalmente el equipo de Activos Inmobiliarios del Grupo de Gestión Administrativa solicitó a los Gestores catastrales habilitados para cada municipio y a las Secretarías de hacienda, los </w:t>
      </w:r>
      <w:r w:rsidRPr="00965DCA">
        <w:rPr>
          <w:rFonts w:ascii="Arial" w:eastAsia="Arial" w:hAnsi="Arial" w:cs="Arial"/>
          <w:sz w:val="24"/>
          <w:szCs w:val="24"/>
          <w:lang w:eastAsia="es-CO"/>
        </w:rPr>
        <w:t xml:space="preserve">Certificado de No Inscripción Catastral y Certificación de Inexistencia de Estado de Cuenta y No Registro de Deuda Fiscal, respectivamente, con el objeto de que éstos puedan presentarse como sustitutos temporales de </w:t>
      </w:r>
      <w:bookmarkStart w:id="0" w:name="_Int_5y6X1FSt"/>
      <w:proofErr w:type="gramStart"/>
      <w:r w:rsidRPr="00965DCA">
        <w:rPr>
          <w:rFonts w:ascii="Arial" w:eastAsia="Arial" w:hAnsi="Arial" w:cs="Arial"/>
          <w:sz w:val="24"/>
          <w:szCs w:val="24"/>
          <w:lang w:eastAsia="es-CO"/>
        </w:rPr>
        <w:t>los paz</w:t>
      </w:r>
      <w:bookmarkEnd w:id="0"/>
      <w:proofErr w:type="gramEnd"/>
      <w:r w:rsidRPr="00965DCA">
        <w:rPr>
          <w:rFonts w:ascii="Arial" w:eastAsia="Arial" w:hAnsi="Arial" w:cs="Arial"/>
          <w:sz w:val="24"/>
          <w:szCs w:val="24"/>
          <w:lang w:eastAsia="es-CO"/>
        </w:rPr>
        <w:t xml:space="preserve"> y salvo por concepto de impuesto predial. No obstante, se advierte que, durante el trámite registral ante la Oficina de Registro de Instrumentos Públicos (ORIP), existe la posibilidad de que estas solicitudes sean objeto de devolución cuando se evidencie que estos predios no se encuentran incorporados o presentan inconsistencias en la base de datos alfanumérica y/o geográfica administrada por el gestor catastral competente. En tales casos, será necesario adelantar previamente las gestiones de actualización, validación o incorporación de la información catastral correspondiente, lo que puede generar ajustes en los tiempos inicialmente previstos para la culminación del proceso.</w:t>
      </w:r>
    </w:p>
    <w:p w14:paraId="6039E3A8" w14:textId="77777777" w:rsidR="00965DCA" w:rsidRPr="00965DCA" w:rsidRDefault="00965DCA" w:rsidP="00965DCA">
      <w:pPr>
        <w:jc w:val="both"/>
        <w:rPr>
          <w:rFonts w:ascii="Arial" w:hAnsi="Arial" w:cs="Arial"/>
          <w:sz w:val="24"/>
          <w:szCs w:val="24"/>
        </w:rPr>
      </w:pPr>
      <w:r w:rsidRPr="00965DCA">
        <w:rPr>
          <w:rFonts w:ascii="Arial" w:hAnsi="Arial" w:cs="Arial"/>
          <w:sz w:val="24"/>
          <w:szCs w:val="24"/>
        </w:rPr>
        <w:t xml:space="preserve">Finalmente es importante precisar que, se cuenta con los siguientes documentos: Acta de entrega de los bines inmuebles por parte del IFI (de 30 predios), copia auténtica emitida por el Ministerio de Industria y Turismo (de 27 predios), Folios de Matrícula inmobiliaria actualizados (consulta VUR de 29 predios). </w:t>
      </w:r>
    </w:p>
    <w:p w14:paraId="27DF99AC" w14:textId="77777777" w:rsidR="00965DCA" w:rsidRPr="00965DCA" w:rsidRDefault="00965DCA" w:rsidP="00965DCA">
      <w:pPr>
        <w:jc w:val="both"/>
        <w:rPr>
          <w:rFonts w:ascii="Arial" w:hAnsi="Arial" w:cs="Arial"/>
          <w:sz w:val="24"/>
          <w:szCs w:val="24"/>
        </w:rPr>
      </w:pPr>
    </w:p>
    <w:p w14:paraId="481715B4" w14:textId="77777777" w:rsidR="00965DCA" w:rsidRPr="00965DCA" w:rsidRDefault="00965DCA" w:rsidP="00965DCA">
      <w:pPr>
        <w:pBdr>
          <w:top w:val="single" w:sz="4" w:space="4" w:color="000000"/>
          <w:left w:val="single" w:sz="4" w:space="4" w:color="000000"/>
          <w:bottom w:val="single" w:sz="4" w:space="4" w:color="000000"/>
          <w:right w:val="single" w:sz="4" w:space="4" w:color="000000"/>
        </w:pBdr>
        <w:jc w:val="both"/>
        <w:rPr>
          <w:rFonts w:ascii="Arial" w:hAnsi="Arial" w:cs="Arial"/>
          <w:sz w:val="24"/>
          <w:szCs w:val="24"/>
        </w:rPr>
      </w:pPr>
      <w:r w:rsidRPr="00965DCA">
        <w:rPr>
          <w:rFonts w:ascii="Arial" w:hAnsi="Arial" w:cs="Arial"/>
          <w:b/>
          <w:bCs/>
          <w:sz w:val="24"/>
          <w:szCs w:val="24"/>
        </w:rPr>
        <w:t>Tiempo estimado:</w:t>
      </w:r>
      <w:r w:rsidRPr="00965DCA">
        <w:rPr>
          <w:rFonts w:ascii="Arial" w:hAnsi="Arial" w:cs="Arial"/>
          <w:sz w:val="24"/>
          <w:szCs w:val="24"/>
        </w:rPr>
        <w:t xml:space="preserve"> Diez (10) días hábiles desde la radicación ante la ORIP.  Para este momento ya se debe contar con toda la documentación para soportar la solicitud de registro. </w:t>
      </w:r>
    </w:p>
    <w:p w14:paraId="38A87967" w14:textId="77777777" w:rsidR="00965DCA" w:rsidRPr="00965DCA" w:rsidRDefault="00965DCA" w:rsidP="00965DCA">
      <w:pPr>
        <w:jc w:val="both"/>
        <w:rPr>
          <w:rFonts w:ascii="Arial" w:hAnsi="Arial" w:cs="Arial"/>
          <w:sz w:val="24"/>
          <w:szCs w:val="24"/>
        </w:rPr>
      </w:pPr>
    </w:p>
    <w:p w14:paraId="47E6E8A7" w14:textId="059CE293" w:rsidR="00965DCA" w:rsidRPr="00965DCA" w:rsidRDefault="00965DCA" w:rsidP="00965DCA">
      <w:pPr>
        <w:jc w:val="both"/>
        <w:rPr>
          <w:rFonts w:ascii="Arial" w:hAnsi="Arial" w:cs="Arial"/>
          <w:b/>
          <w:bCs/>
          <w:sz w:val="24"/>
          <w:szCs w:val="24"/>
        </w:rPr>
      </w:pPr>
      <w:r w:rsidRPr="00965DCA">
        <w:rPr>
          <w:rFonts w:ascii="Arial" w:hAnsi="Arial" w:cs="Arial"/>
          <w:b/>
          <w:bCs/>
          <w:sz w:val="24"/>
          <w:szCs w:val="24"/>
        </w:rPr>
        <w:lastRenderedPageBreak/>
        <w:t xml:space="preserve">Ruta 2: Expedición de Acto Administrativo Declarativo de Dominio </w:t>
      </w:r>
    </w:p>
    <w:p w14:paraId="1ED8FC54" w14:textId="6EACD4BA" w:rsidR="00965DCA" w:rsidRPr="00965DCA" w:rsidRDefault="00965DCA" w:rsidP="00965DCA">
      <w:pPr>
        <w:jc w:val="both"/>
        <w:rPr>
          <w:rFonts w:ascii="Arial" w:hAnsi="Arial" w:cs="Arial"/>
          <w:sz w:val="24"/>
          <w:szCs w:val="24"/>
        </w:rPr>
      </w:pPr>
      <w:r w:rsidRPr="00965DCA">
        <w:rPr>
          <w:rFonts w:ascii="Arial" w:hAnsi="Arial" w:cs="Arial"/>
          <w:sz w:val="24"/>
          <w:szCs w:val="24"/>
        </w:rPr>
        <w:t xml:space="preserve">En aplicación del artículo 4 del Decreto 1014 de 2005 y lo establecido en el Decreto 47 de 2014, respecto de la formalización de activos inmobiliarios del estado, el Ministerio de Minas y Energía se encuentra plenamente legitimado para proferir una </w:t>
      </w:r>
      <w:r w:rsidRPr="00965DCA">
        <w:rPr>
          <w:rFonts w:ascii="Arial" w:hAnsi="Arial" w:cs="Arial"/>
          <w:b/>
          <w:bCs/>
          <w:sz w:val="24"/>
          <w:szCs w:val="24"/>
        </w:rPr>
        <w:t>Resolución Declarativa de Formalización de la Propiedad Inmobiliaria</w:t>
      </w:r>
      <w:r w:rsidRPr="00965DCA">
        <w:rPr>
          <w:rFonts w:ascii="Arial" w:hAnsi="Arial" w:cs="Arial"/>
          <w:sz w:val="24"/>
          <w:szCs w:val="24"/>
        </w:rPr>
        <w:t>, toda vez que su competencia guarda relación directa con la destinación o uso histórico de los predios (operación minera y salinera) para titular el bien a su favor. Este acto declarativo depuraría lo yerros de las actas emitidas por el IFI y ordenaría de forma directa a la ORIP la inscripción y actualización del folio.</w:t>
      </w:r>
    </w:p>
    <w:p w14:paraId="0554EC2D" w14:textId="77777777" w:rsidR="00965DCA" w:rsidRPr="00965DCA" w:rsidRDefault="00965DCA" w:rsidP="00965DCA">
      <w:pPr>
        <w:jc w:val="both"/>
        <w:rPr>
          <w:rFonts w:ascii="Arial" w:hAnsi="Arial" w:cs="Arial"/>
          <w:sz w:val="24"/>
          <w:szCs w:val="24"/>
        </w:rPr>
      </w:pPr>
      <w:r w:rsidRPr="00965DCA">
        <w:rPr>
          <w:rFonts w:ascii="Arial" w:hAnsi="Arial" w:cs="Arial"/>
          <w:sz w:val="24"/>
          <w:szCs w:val="24"/>
        </w:rPr>
        <w:t>Dicho acto administrativo debería contener como mínimo lo siguiente:</w:t>
      </w:r>
    </w:p>
    <w:p w14:paraId="4912C317" w14:textId="77777777" w:rsidR="00965DCA" w:rsidRPr="00965DCA" w:rsidRDefault="00965DCA" w:rsidP="00965DCA">
      <w:pPr>
        <w:pStyle w:val="Prrafodelista"/>
        <w:numPr>
          <w:ilvl w:val="0"/>
          <w:numId w:val="8"/>
        </w:numPr>
        <w:spacing w:after="200" w:line="276" w:lineRule="auto"/>
        <w:jc w:val="both"/>
        <w:rPr>
          <w:sz w:val="24"/>
          <w:szCs w:val="24"/>
        </w:rPr>
      </w:pPr>
      <w:r w:rsidRPr="00965DCA">
        <w:rPr>
          <w:sz w:val="24"/>
          <w:szCs w:val="24"/>
        </w:rPr>
        <w:t>Identificación plena de cada inmueble.</w:t>
      </w:r>
    </w:p>
    <w:p w14:paraId="6FD313CB" w14:textId="77777777" w:rsidR="00965DCA" w:rsidRPr="00965DCA" w:rsidRDefault="00965DCA" w:rsidP="00965DCA">
      <w:pPr>
        <w:pStyle w:val="Prrafodelista"/>
        <w:numPr>
          <w:ilvl w:val="0"/>
          <w:numId w:val="8"/>
        </w:numPr>
        <w:spacing w:after="200" w:line="276" w:lineRule="auto"/>
        <w:jc w:val="both"/>
        <w:rPr>
          <w:sz w:val="24"/>
          <w:szCs w:val="24"/>
        </w:rPr>
      </w:pPr>
      <w:r w:rsidRPr="00965DCA">
        <w:rPr>
          <w:sz w:val="24"/>
          <w:szCs w:val="24"/>
        </w:rPr>
        <w:t>Incorporar matrícula inmobiliaria, cabida y linderos.</w:t>
      </w:r>
    </w:p>
    <w:p w14:paraId="0FAB5161" w14:textId="77777777" w:rsidR="00965DCA" w:rsidRPr="00965DCA" w:rsidRDefault="00965DCA" w:rsidP="00965DCA">
      <w:pPr>
        <w:pStyle w:val="Prrafodelista"/>
        <w:numPr>
          <w:ilvl w:val="0"/>
          <w:numId w:val="8"/>
        </w:numPr>
        <w:spacing w:after="200" w:line="276" w:lineRule="auto"/>
        <w:jc w:val="both"/>
        <w:rPr>
          <w:sz w:val="24"/>
          <w:szCs w:val="24"/>
        </w:rPr>
      </w:pPr>
      <w:r w:rsidRPr="00965DCA">
        <w:rPr>
          <w:sz w:val="24"/>
          <w:szCs w:val="24"/>
        </w:rPr>
        <w:t>Reconocer la titularidad de la Nación – Ministerio de Minas y Energía.</w:t>
      </w:r>
    </w:p>
    <w:p w14:paraId="3A5DA8D1" w14:textId="77777777" w:rsidR="00965DCA" w:rsidRPr="00965DCA" w:rsidRDefault="00965DCA" w:rsidP="00965DCA">
      <w:pPr>
        <w:pStyle w:val="Prrafodelista"/>
        <w:numPr>
          <w:ilvl w:val="0"/>
          <w:numId w:val="8"/>
        </w:numPr>
        <w:spacing w:after="200" w:line="276" w:lineRule="auto"/>
        <w:jc w:val="both"/>
        <w:rPr>
          <w:sz w:val="24"/>
          <w:szCs w:val="24"/>
        </w:rPr>
      </w:pPr>
      <w:r w:rsidRPr="00965DCA">
        <w:rPr>
          <w:sz w:val="24"/>
          <w:szCs w:val="24"/>
        </w:rPr>
        <w:t>Reconocer la transferencia efectuada mediante las actas de 2008.</w:t>
      </w:r>
    </w:p>
    <w:p w14:paraId="362224B5" w14:textId="77777777" w:rsidR="00965DCA" w:rsidRPr="00965DCA" w:rsidRDefault="00965DCA" w:rsidP="00965DCA">
      <w:pPr>
        <w:pStyle w:val="Prrafodelista"/>
        <w:numPr>
          <w:ilvl w:val="0"/>
          <w:numId w:val="8"/>
        </w:numPr>
        <w:spacing w:after="200" w:line="276" w:lineRule="auto"/>
        <w:jc w:val="both"/>
        <w:rPr>
          <w:sz w:val="24"/>
          <w:szCs w:val="24"/>
        </w:rPr>
      </w:pPr>
      <w:r w:rsidRPr="00965DCA">
        <w:rPr>
          <w:sz w:val="24"/>
          <w:szCs w:val="24"/>
        </w:rPr>
        <w:t>Ordenar el registro correspondiente.</w:t>
      </w:r>
    </w:p>
    <w:p w14:paraId="74D9C1BD" w14:textId="77777777" w:rsidR="00965DCA" w:rsidRPr="00965DCA" w:rsidRDefault="00965DCA" w:rsidP="00965DCA">
      <w:pPr>
        <w:jc w:val="both"/>
        <w:rPr>
          <w:rFonts w:ascii="Arial" w:hAnsi="Arial" w:cs="Arial"/>
          <w:sz w:val="24"/>
          <w:szCs w:val="24"/>
        </w:rPr>
      </w:pPr>
      <w:r w:rsidRPr="00965DCA">
        <w:rPr>
          <w:rFonts w:ascii="Arial" w:hAnsi="Arial" w:cs="Arial"/>
          <w:sz w:val="24"/>
          <w:szCs w:val="24"/>
        </w:rPr>
        <w:t>Adicionalmente, deberá acompañarse de:</w:t>
      </w:r>
    </w:p>
    <w:p w14:paraId="1B4B549F" w14:textId="77777777" w:rsidR="00965DCA" w:rsidRPr="00965DCA" w:rsidRDefault="00965DCA" w:rsidP="00965DCA">
      <w:pPr>
        <w:pStyle w:val="Prrafodelista"/>
        <w:numPr>
          <w:ilvl w:val="0"/>
          <w:numId w:val="7"/>
        </w:numPr>
        <w:spacing w:after="200" w:line="276" w:lineRule="auto"/>
        <w:jc w:val="both"/>
        <w:rPr>
          <w:sz w:val="24"/>
          <w:szCs w:val="24"/>
        </w:rPr>
      </w:pPr>
      <w:r w:rsidRPr="00965DCA">
        <w:rPr>
          <w:sz w:val="24"/>
          <w:szCs w:val="24"/>
        </w:rPr>
        <w:t>Acta de entrega material.</w:t>
      </w:r>
    </w:p>
    <w:p w14:paraId="33FA2923" w14:textId="77777777" w:rsidR="00965DCA" w:rsidRPr="00965DCA" w:rsidRDefault="00965DCA" w:rsidP="00965DCA">
      <w:pPr>
        <w:pStyle w:val="Prrafodelista"/>
        <w:numPr>
          <w:ilvl w:val="0"/>
          <w:numId w:val="7"/>
        </w:numPr>
        <w:spacing w:after="200" w:line="276" w:lineRule="auto"/>
        <w:jc w:val="both"/>
        <w:rPr>
          <w:sz w:val="24"/>
          <w:szCs w:val="24"/>
        </w:rPr>
      </w:pPr>
      <w:r w:rsidRPr="00965DCA">
        <w:rPr>
          <w:sz w:val="24"/>
          <w:szCs w:val="24"/>
        </w:rPr>
        <w:t>Documento técnico catastral (si aplica)</w:t>
      </w:r>
    </w:p>
    <w:p w14:paraId="32B57325" w14:textId="54CDC203" w:rsidR="00965DCA" w:rsidRDefault="00965DCA" w:rsidP="00965DCA">
      <w:pPr>
        <w:pStyle w:val="Prrafodelista"/>
        <w:numPr>
          <w:ilvl w:val="0"/>
          <w:numId w:val="7"/>
        </w:numPr>
        <w:spacing w:after="200" w:line="276" w:lineRule="auto"/>
        <w:jc w:val="both"/>
        <w:rPr>
          <w:sz w:val="24"/>
          <w:szCs w:val="24"/>
        </w:rPr>
      </w:pPr>
      <w:r w:rsidRPr="00965DCA">
        <w:rPr>
          <w:sz w:val="24"/>
          <w:szCs w:val="24"/>
        </w:rPr>
        <w:t xml:space="preserve">Paz y salvo por concepto de impuestos </w:t>
      </w:r>
    </w:p>
    <w:p w14:paraId="23C3EDC2" w14:textId="77777777" w:rsidR="00965DCA" w:rsidRPr="00965DCA" w:rsidRDefault="00965DCA" w:rsidP="00965DCA">
      <w:pPr>
        <w:pStyle w:val="Prrafodelista"/>
        <w:spacing w:after="200" w:line="276" w:lineRule="auto"/>
        <w:jc w:val="both"/>
        <w:rPr>
          <w:sz w:val="24"/>
          <w:szCs w:val="24"/>
        </w:rPr>
      </w:pPr>
    </w:p>
    <w:p w14:paraId="760F1CB1" w14:textId="77777777" w:rsidR="00965DCA" w:rsidRPr="00965DCA" w:rsidRDefault="00965DCA" w:rsidP="00965DCA">
      <w:pPr>
        <w:jc w:val="both"/>
        <w:rPr>
          <w:rFonts w:ascii="Arial" w:hAnsi="Arial" w:cs="Arial"/>
          <w:color w:val="8496B0" w:themeColor="text2" w:themeTint="99"/>
          <w:sz w:val="24"/>
          <w:szCs w:val="24"/>
        </w:rPr>
      </w:pPr>
      <w:r w:rsidRPr="00965DCA">
        <w:rPr>
          <w:rFonts w:ascii="Arial" w:hAnsi="Arial" w:cs="Arial"/>
          <w:b/>
          <w:bCs/>
          <w:sz w:val="24"/>
          <w:szCs w:val="24"/>
        </w:rPr>
        <w:t xml:space="preserve">NOTA: </w:t>
      </w:r>
      <w:r w:rsidRPr="00965DCA">
        <w:rPr>
          <w:rFonts w:ascii="Arial" w:hAnsi="Arial" w:cs="Arial"/>
          <w:sz w:val="24"/>
          <w:szCs w:val="24"/>
        </w:rPr>
        <w:t>S</w:t>
      </w:r>
      <w:r w:rsidRPr="00965DCA">
        <w:rPr>
          <w:rFonts w:ascii="Arial" w:eastAsia="Arial" w:hAnsi="Arial" w:cs="Arial"/>
          <w:sz w:val="24"/>
          <w:szCs w:val="24"/>
          <w:lang w:eastAsia="es-CO"/>
        </w:rPr>
        <w:t>e advierte que, durante el trámite registral ante la Oficina de Registro de Instrumentos Públicos (ORIP), existe la posibilidad de que las solicitudes relacionadas con los predios NO INCORPORADOS en las bases alfanuméricas y/o geográficas administradas por el gestor catastral competente, sean objeto de devolución cuando se evidencie tal situación. En tales casos, será necesario adelantar previamente las gestiones de actualización, validación o incorporación de la información catastral correspondiente, lo que puede generar ajustes en los tiempos inicialmente previstos para la culminación del proceso.</w:t>
      </w:r>
    </w:p>
    <w:p w14:paraId="13F1704D" w14:textId="77777777" w:rsidR="00965DCA" w:rsidRPr="00965DCA" w:rsidRDefault="00965DCA" w:rsidP="00965DCA">
      <w:pPr>
        <w:pBdr>
          <w:top w:val="single" w:sz="4" w:space="4" w:color="000000"/>
          <w:left w:val="single" w:sz="4" w:space="4" w:color="000000"/>
          <w:bottom w:val="single" w:sz="4" w:space="4" w:color="000000"/>
          <w:right w:val="single" w:sz="4" w:space="4" w:color="000000"/>
        </w:pBdr>
        <w:jc w:val="both"/>
        <w:rPr>
          <w:rFonts w:ascii="Arial" w:hAnsi="Arial" w:cs="Arial"/>
          <w:sz w:val="24"/>
          <w:szCs w:val="24"/>
        </w:rPr>
      </w:pPr>
      <w:r w:rsidRPr="00965DCA">
        <w:rPr>
          <w:rFonts w:ascii="Arial" w:hAnsi="Arial" w:cs="Arial"/>
          <w:b/>
          <w:bCs/>
          <w:sz w:val="24"/>
          <w:szCs w:val="24"/>
        </w:rPr>
        <w:t>Tiempo estimado:</w:t>
      </w:r>
      <w:r w:rsidRPr="00965DCA">
        <w:rPr>
          <w:rFonts w:ascii="Arial" w:hAnsi="Arial" w:cs="Arial"/>
          <w:sz w:val="24"/>
          <w:szCs w:val="24"/>
        </w:rPr>
        <w:t xml:space="preserve"> Dos (2) meses.  Se debe proyectar acto con todos los antecedentes ocupacionales de los predios y de propiedad de éstos, además del acervo normativo necesario, más el tiempo que se demoren las revisiones y firmas. </w:t>
      </w:r>
    </w:p>
    <w:p w14:paraId="306DEE93" w14:textId="77777777" w:rsidR="00965DCA" w:rsidRPr="00965DCA" w:rsidRDefault="00965DCA" w:rsidP="00965DCA">
      <w:pPr>
        <w:jc w:val="both"/>
        <w:rPr>
          <w:rFonts w:ascii="Arial" w:hAnsi="Arial" w:cs="Arial"/>
          <w:b/>
          <w:bCs/>
          <w:sz w:val="24"/>
          <w:szCs w:val="24"/>
        </w:rPr>
      </w:pPr>
    </w:p>
    <w:p w14:paraId="625F1786" w14:textId="2E84DEF4" w:rsidR="00965DCA" w:rsidRPr="00965DCA" w:rsidRDefault="00965DCA" w:rsidP="00965DCA">
      <w:pPr>
        <w:jc w:val="both"/>
        <w:rPr>
          <w:rFonts w:ascii="Arial" w:hAnsi="Arial" w:cs="Arial"/>
          <w:b/>
          <w:bCs/>
          <w:sz w:val="24"/>
          <w:szCs w:val="24"/>
        </w:rPr>
      </w:pPr>
      <w:r w:rsidRPr="00965DCA">
        <w:rPr>
          <w:rFonts w:ascii="Arial" w:hAnsi="Arial" w:cs="Arial"/>
          <w:b/>
          <w:bCs/>
          <w:sz w:val="24"/>
          <w:szCs w:val="24"/>
        </w:rPr>
        <w:t>Ruta 3: Solicitar la asignación de los bienes inmuebles provenientes del IFI al Ministerio de Hacienda y Crédito Público</w:t>
      </w:r>
    </w:p>
    <w:p w14:paraId="77E90D1E" w14:textId="3A6A0850"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 xml:space="preserve">Iniciar el proceso de saneamiento de titulación y registro de bienes inmuebles institucionales, de conformidad con lo dispuesto en el artículo 40 de la Ley 1955 de 2019 (Plan Nacional de Desarrollo 2018-2022, prorrogado/aplicable). Esto, teniendo en cuenta que los antecedentes documentales demuestran que los predios formaban parte de los activos del extinto Instituto de Fomento Industrial (IFI), y que su traslación del dominio al Ministerio de Minas y Energía fue dispuesta en el trámite liquidatario, según consta en los actos administrativos correspondientes (Decretos </w:t>
      </w:r>
      <w:r w:rsidRPr="00965DCA">
        <w:rPr>
          <w:rFonts w:ascii="Arial" w:eastAsia="Arial" w:hAnsi="Arial" w:cs="Arial"/>
          <w:color w:val="1F1F1F"/>
          <w:sz w:val="24"/>
          <w:szCs w:val="24"/>
        </w:rPr>
        <w:t>2883 de 2001, 2590 de 2003 y 2803 del 2000)</w:t>
      </w:r>
      <w:r w:rsidRPr="00965DCA">
        <w:rPr>
          <w:rFonts w:ascii="Arial" w:eastAsia="Arial" w:hAnsi="Arial" w:cs="Arial"/>
          <w:sz w:val="24"/>
          <w:szCs w:val="24"/>
        </w:rPr>
        <w:t xml:space="preserve"> y en las actas de entrega que adelantó el IFI en Liquidación durante el año 2008. Por lo tanto, se cumplen los presupuestos para activar esta prerrogativa legal, orientada a corregir los defectos de registro, unificar la titulación y armonizar la situación fáctica de los inmuebles con sus respectivos folios de matrícula inmobiliaria. </w:t>
      </w:r>
    </w:p>
    <w:p w14:paraId="42A92837"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Para tal efecto, corresponde solicitar al Ministerio de Hacienda y Crédito Público determinar, mediante acto administrativo motivado, la asignación de los inmuebles, para posteriormente proceder al registro.</w:t>
      </w:r>
    </w:p>
    <w:p w14:paraId="7FD1A329" w14:textId="10CDBE75" w:rsidR="00965DCA" w:rsidRPr="00965DCA" w:rsidRDefault="00965DCA" w:rsidP="00965DCA">
      <w:pPr>
        <w:jc w:val="both"/>
        <w:rPr>
          <w:rFonts w:ascii="Arial" w:hAnsi="Arial" w:cs="Arial"/>
          <w:color w:val="8496B0" w:themeColor="text2" w:themeTint="99"/>
          <w:sz w:val="24"/>
          <w:szCs w:val="24"/>
        </w:rPr>
      </w:pPr>
      <w:r w:rsidRPr="00965DCA">
        <w:rPr>
          <w:rFonts w:ascii="Arial" w:hAnsi="Arial" w:cs="Arial"/>
          <w:b/>
          <w:bCs/>
          <w:sz w:val="24"/>
          <w:szCs w:val="24"/>
        </w:rPr>
        <w:t xml:space="preserve">NOTA: </w:t>
      </w:r>
      <w:r w:rsidRPr="00965DCA">
        <w:rPr>
          <w:rFonts w:ascii="Arial" w:hAnsi="Arial" w:cs="Arial"/>
          <w:sz w:val="24"/>
          <w:szCs w:val="24"/>
        </w:rPr>
        <w:t>S</w:t>
      </w:r>
      <w:r w:rsidRPr="00965DCA">
        <w:rPr>
          <w:rFonts w:ascii="Arial" w:eastAsia="Arial" w:hAnsi="Arial" w:cs="Arial"/>
          <w:sz w:val="24"/>
          <w:szCs w:val="24"/>
          <w:lang w:eastAsia="es-CO"/>
        </w:rPr>
        <w:t>e advierte que, durante el trámite registral ante la Oficina de Registro de Instrumentos Públicos (ORIP), existe la posibilidad de que las solicitudes relacionadas con los predios NO INCORPORADOS en las bases alfanuméricas y/o geográficas administradas por el gestor catastral competente, sean objeto de devolución cuando se evidencie tal situación. En tales casos, será necesario adelantar previamente las gestiones de actualización, validación o incorporación de la información catastral correspondiente, lo que puede generar ajustes en los tiempos inicialmente previstos para la culminación del proceso.</w:t>
      </w:r>
    </w:p>
    <w:p w14:paraId="286D47A5" w14:textId="77777777" w:rsidR="00965DCA" w:rsidRPr="00965DCA" w:rsidRDefault="00965DCA" w:rsidP="00965DCA">
      <w:pPr>
        <w:pBdr>
          <w:top w:val="single" w:sz="4" w:space="4" w:color="000000"/>
          <w:left w:val="single" w:sz="4" w:space="4" w:color="000000"/>
          <w:bottom w:val="single" w:sz="4" w:space="4" w:color="000000"/>
          <w:right w:val="single" w:sz="4" w:space="4" w:color="000000"/>
        </w:pBdr>
        <w:jc w:val="both"/>
        <w:rPr>
          <w:rFonts w:ascii="Arial" w:hAnsi="Arial" w:cs="Arial"/>
          <w:sz w:val="24"/>
          <w:szCs w:val="24"/>
        </w:rPr>
      </w:pPr>
      <w:r w:rsidRPr="00965DCA">
        <w:rPr>
          <w:rFonts w:ascii="Arial" w:hAnsi="Arial" w:cs="Arial"/>
          <w:b/>
          <w:bCs/>
          <w:sz w:val="24"/>
          <w:szCs w:val="24"/>
        </w:rPr>
        <w:t>Tiempo estimado:</w:t>
      </w:r>
      <w:r w:rsidRPr="00965DCA">
        <w:rPr>
          <w:rFonts w:ascii="Arial" w:hAnsi="Arial" w:cs="Arial"/>
          <w:sz w:val="24"/>
          <w:szCs w:val="24"/>
        </w:rPr>
        <w:t xml:space="preserve"> Dos (2) a tres (3) meses.  Se debe proyectar solicitud con todos los antecedentes ocupacionales de los predios y de propiedad de éstos, además del acervo normativo necesario y esperar respuesta del Ministerio de Hacienda.</w:t>
      </w:r>
    </w:p>
    <w:p w14:paraId="03624037" w14:textId="77777777" w:rsidR="00965DCA" w:rsidRPr="00965DCA" w:rsidRDefault="00965DCA" w:rsidP="00965DCA">
      <w:pPr>
        <w:jc w:val="both"/>
        <w:rPr>
          <w:rFonts w:ascii="Arial" w:hAnsi="Arial" w:cs="Arial"/>
          <w:sz w:val="24"/>
          <w:szCs w:val="24"/>
        </w:rPr>
      </w:pPr>
    </w:p>
    <w:p w14:paraId="6B462517" w14:textId="77777777" w:rsidR="00965DCA" w:rsidRPr="00965DCA" w:rsidRDefault="00965DCA" w:rsidP="00965DCA">
      <w:pPr>
        <w:pStyle w:val="Prrafodelista"/>
        <w:numPr>
          <w:ilvl w:val="0"/>
          <w:numId w:val="4"/>
        </w:numPr>
        <w:spacing w:after="200" w:line="276" w:lineRule="auto"/>
        <w:jc w:val="both"/>
        <w:rPr>
          <w:b/>
          <w:bCs/>
          <w:sz w:val="24"/>
          <w:szCs w:val="24"/>
        </w:rPr>
      </w:pPr>
      <w:r w:rsidRPr="00965DCA">
        <w:rPr>
          <w:b/>
          <w:bCs/>
          <w:sz w:val="24"/>
          <w:szCs w:val="24"/>
        </w:rPr>
        <w:t xml:space="preserve">CASOS ESPECIALES </w:t>
      </w:r>
    </w:p>
    <w:p w14:paraId="7D09DC83" w14:textId="77777777" w:rsidR="00965DCA" w:rsidRPr="00965DCA" w:rsidRDefault="00965DCA" w:rsidP="00965DCA">
      <w:pPr>
        <w:pStyle w:val="Ttulo3"/>
        <w:numPr>
          <w:ilvl w:val="0"/>
          <w:numId w:val="2"/>
        </w:numPr>
        <w:spacing w:after="200" w:line="276" w:lineRule="auto"/>
        <w:jc w:val="both"/>
        <w:rPr>
          <w:sz w:val="24"/>
          <w:szCs w:val="24"/>
        </w:rPr>
      </w:pPr>
      <w:r w:rsidRPr="00965DCA">
        <w:rPr>
          <w:sz w:val="24"/>
          <w:szCs w:val="24"/>
        </w:rPr>
        <w:t xml:space="preserve">Predio N° 30 (Nemocón) – Carencia de Antecedente Registral (Sin FMI) y Ruta </w:t>
      </w:r>
      <w:r w:rsidRPr="00965DCA">
        <w:rPr>
          <w:sz w:val="24"/>
          <w:szCs w:val="24"/>
        </w:rPr>
        <w:lastRenderedPageBreak/>
        <w:t>de Legalización</w:t>
      </w:r>
    </w:p>
    <w:p w14:paraId="6471C95F" w14:textId="4010365E" w:rsidR="00965DCA" w:rsidRPr="00965DCA" w:rsidRDefault="00965DCA" w:rsidP="00965DCA">
      <w:pPr>
        <w:jc w:val="both"/>
        <w:rPr>
          <w:rFonts w:ascii="Arial" w:hAnsi="Arial" w:cs="Arial"/>
          <w:sz w:val="24"/>
          <w:szCs w:val="24"/>
        </w:rPr>
      </w:pPr>
      <w:r w:rsidRPr="00965DCA">
        <w:rPr>
          <w:rFonts w:ascii="Arial" w:eastAsia="Arial" w:hAnsi="Arial" w:cs="Arial"/>
          <w:b/>
          <w:bCs/>
          <w:sz w:val="24"/>
          <w:szCs w:val="24"/>
          <w:u w:val="single"/>
        </w:rPr>
        <w:t>Situación Fáctica y Jurídica:</w:t>
      </w:r>
      <w:r w:rsidRPr="00965DCA">
        <w:rPr>
          <w:rFonts w:ascii="Arial" w:eastAsia="Arial" w:hAnsi="Arial" w:cs="Arial"/>
          <w:sz w:val="24"/>
          <w:szCs w:val="24"/>
          <w:u w:val="single"/>
        </w:rPr>
        <w:t xml:space="preserve"> </w:t>
      </w:r>
      <w:r w:rsidRPr="00965DCA">
        <w:rPr>
          <w:rFonts w:ascii="Arial" w:eastAsia="Arial" w:hAnsi="Arial" w:cs="Arial"/>
          <w:sz w:val="24"/>
          <w:szCs w:val="24"/>
        </w:rPr>
        <w:t xml:space="preserve">El predio identificado con el orden </w:t>
      </w:r>
      <w:r w:rsidRPr="00965DCA">
        <w:rPr>
          <w:rFonts w:ascii="Arial" w:eastAsia="Arial" w:hAnsi="Arial" w:cs="Arial"/>
          <w:b/>
          <w:bCs/>
          <w:sz w:val="24"/>
          <w:szCs w:val="24"/>
        </w:rPr>
        <w:t>N° 30</w:t>
      </w:r>
      <w:r w:rsidRPr="00965DCA">
        <w:rPr>
          <w:rFonts w:ascii="Arial" w:eastAsia="Arial" w:hAnsi="Arial" w:cs="Arial"/>
          <w:sz w:val="24"/>
          <w:szCs w:val="24"/>
        </w:rPr>
        <w:t xml:space="preserve"> en el municipio de </w:t>
      </w:r>
      <w:r w:rsidRPr="00965DCA">
        <w:rPr>
          <w:rFonts w:ascii="Arial" w:eastAsia="Arial" w:hAnsi="Arial" w:cs="Arial"/>
          <w:b/>
          <w:bCs/>
          <w:sz w:val="24"/>
          <w:szCs w:val="24"/>
        </w:rPr>
        <w:t>Nemocón</w:t>
      </w:r>
      <w:r w:rsidRPr="00965DCA">
        <w:rPr>
          <w:rFonts w:ascii="Arial" w:eastAsia="Arial" w:hAnsi="Arial" w:cs="Arial"/>
          <w:sz w:val="24"/>
          <w:szCs w:val="24"/>
        </w:rPr>
        <w:t xml:space="preserve">, transferido mediante el Acta de Entrega del 3 de septiembre de 2008 por el extinto Instituto de Fomento Industrial (IFI) en Liquidación al Ministerio de Minas y Energía, presenta una condición de alta complejidad jurídica. Actualmente, el inmueble </w:t>
      </w:r>
      <w:r w:rsidRPr="00965DCA">
        <w:rPr>
          <w:rFonts w:ascii="Arial" w:eastAsia="Arial" w:hAnsi="Arial" w:cs="Arial"/>
          <w:b/>
          <w:bCs/>
          <w:sz w:val="24"/>
          <w:szCs w:val="24"/>
        </w:rPr>
        <w:t>no cuenta con Folio de Matrícula Inmobiliaria (FMI)</w:t>
      </w:r>
      <w:r w:rsidRPr="00965DCA">
        <w:rPr>
          <w:rFonts w:ascii="Arial" w:eastAsia="Arial" w:hAnsi="Arial" w:cs="Arial"/>
          <w:sz w:val="24"/>
          <w:szCs w:val="24"/>
        </w:rPr>
        <w:t xml:space="preserve"> activo (registrado provisionalmente bajo la codificación técnica </w:t>
      </w:r>
      <w:r w:rsidRPr="00965DCA">
        <w:rPr>
          <w:rFonts w:ascii="Arial" w:eastAsia="Arial" w:hAnsi="Arial" w:cs="Arial"/>
          <w:i/>
          <w:iCs/>
          <w:sz w:val="24"/>
          <w:szCs w:val="24"/>
        </w:rPr>
        <w:t>0001-0006-0018</w:t>
      </w:r>
      <w:r w:rsidRPr="00965DCA">
        <w:rPr>
          <w:rFonts w:ascii="Arial" w:eastAsia="Arial" w:hAnsi="Arial" w:cs="Arial"/>
          <w:sz w:val="24"/>
          <w:szCs w:val="24"/>
        </w:rPr>
        <w:t xml:space="preserve">), careciendo el Estado de un antecedente registral formal. Si bien el predio se encuentra plenamente individualizado a nivel fiscal mediante su </w:t>
      </w:r>
      <w:r w:rsidRPr="00965DCA">
        <w:rPr>
          <w:rFonts w:ascii="Arial" w:eastAsia="Arial" w:hAnsi="Arial" w:cs="Arial"/>
          <w:b/>
          <w:bCs/>
          <w:sz w:val="24"/>
          <w:szCs w:val="24"/>
        </w:rPr>
        <w:t>Cédula Catastral (IGAC 2017)</w:t>
      </w:r>
      <w:r w:rsidRPr="00965DCA">
        <w:rPr>
          <w:rFonts w:ascii="Arial" w:eastAsia="Arial" w:hAnsi="Arial" w:cs="Arial"/>
          <w:sz w:val="24"/>
          <w:szCs w:val="24"/>
        </w:rPr>
        <w:t xml:space="preserve">, el </w:t>
      </w:r>
      <w:proofErr w:type="spellStart"/>
      <w:r w:rsidRPr="00965DCA">
        <w:rPr>
          <w:rFonts w:ascii="Arial" w:eastAsia="Arial" w:hAnsi="Arial" w:cs="Arial"/>
          <w:sz w:val="24"/>
          <w:szCs w:val="24"/>
        </w:rPr>
        <w:t>tradente</w:t>
      </w:r>
      <w:proofErr w:type="spellEnd"/>
      <w:r w:rsidRPr="00965DCA">
        <w:rPr>
          <w:rFonts w:ascii="Arial" w:eastAsia="Arial" w:hAnsi="Arial" w:cs="Arial"/>
          <w:sz w:val="24"/>
          <w:szCs w:val="24"/>
        </w:rPr>
        <w:t xml:space="preserve"> histórico (IFI) no ostentaba la propiedad registrada formalmente al momento de la entrega, lo que impide la inscripción directa del título de 2008 por la vía ordinaria.</w:t>
      </w:r>
    </w:p>
    <w:p w14:paraId="53DC24B9" w14:textId="7FF18CE4" w:rsidR="00965DCA" w:rsidRPr="00965DCA" w:rsidRDefault="00965DCA" w:rsidP="00965DCA">
      <w:pPr>
        <w:jc w:val="both"/>
        <w:rPr>
          <w:rFonts w:ascii="Arial" w:hAnsi="Arial" w:cs="Arial"/>
          <w:sz w:val="24"/>
          <w:szCs w:val="24"/>
        </w:rPr>
      </w:pPr>
      <w:r w:rsidRPr="00965DCA">
        <w:rPr>
          <w:rFonts w:ascii="Arial" w:eastAsia="Arial" w:hAnsi="Arial" w:cs="Arial"/>
          <w:b/>
          <w:bCs/>
          <w:sz w:val="24"/>
          <w:szCs w:val="24"/>
          <w:u w:val="single"/>
        </w:rPr>
        <w:t>Ruta de Saneamiento:</w:t>
      </w:r>
      <w:r w:rsidRPr="00965DCA">
        <w:rPr>
          <w:rFonts w:ascii="Arial" w:eastAsia="Arial" w:hAnsi="Arial" w:cs="Arial"/>
          <w:sz w:val="24"/>
          <w:szCs w:val="24"/>
          <w:u w:val="single"/>
        </w:rPr>
        <w:t xml:space="preserve"> </w:t>
      </w:r>
      <w:r w:rsidRPr="00965DCA">
        <w:rPr>
          <w:rFonts w:ascii="Arial" w:eastAsia="Arial" w:hAnsi="Arial" w:cs="Arial"/>
          <w:sz w:val="24"/>
          <w:szCs w:val="24"/>
        </w:rPr>
        <w:t xml:space="preserve">Al no existir un folio previo que refleje la cadena de tradiciones, la vía ordinaria de registro (Ruta 1) resulta jurídicamente inviable. Por lo tanto, se podría seguirse lo indicado en la </w:t>
      </w:r>
      <w:r w:rsidRPr="00965DCA">
        <w:rPr>
          <w:rFonts w:ascii="Arial" w:eastAsia="Arial" w:hAnsi="Arial" w:cs="Arial"/>
          <w:b/>
          <w:bCs/>
          <w:sz w:val="24"/>
          <w:szCs w:val="24"/>
        </w:rPr>
        <w:t>Ruta 2 (Expedición de Acto Administrativo Declarativo de Dominio)</w:t>
      </w:r>
      <w:r w:rsidRPr="00965DCA">
        <w:rPr>
          <w:rFonts w:ascii="Arial" w:eastAsia="Arial" w:hAnsi="Arial" w:cs="Arial"/>
          <w:sz w:val="24"/>
          <w:szCs w:val="24"/>
        </w:rPr>
        <w:t xml:space="preserve"> como el mecanismo idóneo y preferente para la regularización de la propiedad o la R</w:t>
      </w:r>
      <w:r w:rsidRPr="00965DCA">
        <w:rPr>
          <w:rFonts w:ascii="Arial" w:hAnsi="Arial" w:cs="Arial"/>
          <w:b/>
          <w:bCs/>
          <w:sz w:val="24"/>
          <w:szCs w:val="24"/>
        </w:rPr>
        <w:t>uta 3 (Solicitar la asignación de los bienes inmuebles provenientes del IFI al Ministerio de Hacienda y Crédito Público),</w:t>
      </w:r>
      <w:r w:rsidRPr="00965DCA">
        <w:rPr>
          <w:rFonts w:ascii="Arial" w:hAnsi="Arial" w:cs="Arial"/>
          <w:sz w:val="24"/>
          <w:szCs w:val="24"/>
        </w:rPr>
        <w:t xml:space="preserve"> como alternativa. </w:t>
      </w:r>
    </w:p>
    <w:p w14:paraId="38AE4D2C" w14:textId="49027FE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Para lo anterior, el trámite deberá estructurarse bajo los siguientes parámetros:</w:t>
      </w:r>
    </w:p>
    <w:p w14:paraId="7368D858" w14:textId="70B70E12" w:rsidR="00965DCA" w:rsidRPr="00965DCA" w:rsidRDefault="00965DCA" w:rsidP="00965DCA">
      <w:pPr>
        <w:jc w:val="both"/>
        <w:rPr>
          <w:rFonts w:ascii="Arial" w:hAnsi="Arial" w:cs="Arial"/>
          <w:sz w:val="24"/>
          <w:szCs w:val="24"/>
        </w:rPr>
      </w:pPr>
      <w:r w:rsidRPr="00965DCA">
        <w:rPr>
          <w:rFonts w:ascii="Arial" w:eastAsia="Arial" w:hAnsi="Arial" w:cs="Arial"/>
          <w:b/>
          <w:bCs/>
          <w:sz w:val="24"/>
          <w:szCs w:val="24"/>
        </w:rPr>
        <w:t>Saneamiento de la Tradición:</w:t>
      </w:r>
      <w:r w:rsidRPr="00965DCA">
        <w:rPr>
          <w:rFonts w:ascii="Arial" w:eastAsia="Arial" w:hAnsi="Arial" w:cs="Arial"/>
          <w:sz w:val="24"/>
          <w:szCs w:val="24"/>
        </w:rPr>
        <w:t xml:space="preserve"> El acto administrativo (bien sea declarativo o proveniente del Ministerio de Hacienda) deberá reconocer la destinación e incorporación histórica del inmueble a la operación minera y salinera de la Nación, subsanando los yerros y vacíos registrales del extinto IFI.</w:t>
      </w:r>
    </w:p>
    <w:p w14:paraId="01080E30" w14:textId="39A3C37F" w:rsidR="00965DCA" w:rsidRPr="00965DCA" w:rsidRDefault="00965DCA" w:rsidP="00965DCA">
      <w:pPr>
        <w:jc w:val="both"/>
        <w:rPr>
          <w:rFonts w:ascii="Arial" w:hAnsi="Arial" w:cs="Arial"/>
          <w:sz w:val="24"/>
          <w:szCs w:val="24"/>
        </w:rPr>
      </w:pPr>
      <w:r w:rsidRPr="00965DCA">
        <w:rPr>
          <w:rFonts w:ascii="Arial" w:eastAsia="Arial" w:hAnsi="Arial" w:cs="Arial"/>
          <w:b/>
          <w:bCs/>
          <w:sz w:val="24"/>
          <w:szCs w:val="24"/>
        </w:rPr>
        <w:t>Orden de Apertura de FMI:</w:t>
      </w:r>
      <w:r w:rsidRPr="00965DCA">
        <w:rPr>
          <w:rFonts w:ascii="Arial" w:eastAsia="Arial" w:hAnsi="Arial" w:cs="Arial"/>
          <w:sz w:val="24"/>
          <w:szCs w:val="24"/>
        </w:rPr>
        <w:t xml:space="preserve"> La resolución servirá como título habilitante definitivo para ordenar de manera directa a la Oficina de Registro de Instrumentos Públicos (ORIP) de Zipaquirá la </w:t>
      </w:r>
      <w:r w:rsidRPr="00965DCA">
        <w:rPr>
          <w:rFonts w:ascii="Arial" w:eastAsia="Arial" w:hAnsi="Arial" w:cs="Arial"/>
          <w:b/>
          <w:bCs/>
          <w:sz w:val="24"/>
          <w:szCs w:val="24"/>
        </w:rPr>
        <w:t>apertura de un nuevo Folio de Matrícula Inmobiliaria</w:t>
      </w:r>
      <w:r w:rsidRPr="00965DCA">
        <w:rPr>
          <w:rFonts w:ascii="Arial" w:eastAsia="Arial" w:hAnsi="Arial" w:cs="Arial"/>
          <w:sz w:val="24"/>
          <w:szCs w:val="24"/>
        </w:rPr>
        <w:t xml:space="preserve"> a nombre de la Nación - Ministerio de Minas y Energía.</w:t>
      </w:r>
    </w:p>
    <w:p w14:paraId="2D14F359" w14:textId="77777777" w:rsidR="00965DCA" w:rsidRPr="00965DCA" w:rsidRDefault="00965DCA" w:rsidP="00965DCA">
      <w:pPr>
        <w:jc w:val="both"/>
        <w:rPr>
          <w:rFonts w:ascii="Arial" w:hAnsi="Arial" w:cs="Arial"/>
          <w:sz w:val="24"/>
          <w:szCs w:val="24"/>
        </w:rPr>
      </w:pPr>
      <w:r w:rsidRPr="00965DCA">
        <w:rPr>
          <w:rFonts w:ascii="Arial" w:eastAsia="Arial" w:hAnsi="Arial" w:cs="Arial"/>
          <w:b/>
          <w:bCs/>
          <w:sz w:val="24"/>
          <w:szCs w:val="24"/>
        </w:rPr>
        <w:t>Soporte Técnico-Catastral:</w:t>
      </w:r>
      <w:r w:rsidRPr="00965DCA">
        <w:rPr>
          <w:rFonts w:ascii="Arial" w:eastAsia="Arial" w:hAnsi="Arial" w:cs="Arial"/>
          <w:sz w:val="24"/>
          <w:szCs w:val="24"/>
        </w:rPr>
        <w:t xml:space="preserve"> Como requisito </w:t>
      </w:r>
      <w:r w:rsidRPr="00965DCA">
        <w:rPr>
          <w:rFonts w:ascii="Arial" w:eastAsia="Arial" w:hAnsi="Arial" w:cs="Arial"/>
          <w:i/>
          <w:iCs/>
          <w:sz w:val="24"/>
          <w:szCs w:val="24"/>
        </w:rPr>
        <w:t>sine qua non</w:t>
      </w:r>
      <w:r w:rsidRPr="00965DCA">
        <w:rPr>
          <w:rFonts w:ascii="Arial" w:eastAsia="Arial" w:hAnsi="Arial" w:cs="Arial"/>
          <w:sz w:val="24"/>
          <w:szCs w:val="24"/>
        </w:rPr>
        <w:t xml:space="preserve"> para la apertura del folio, el acto administrativo deberá acompañarse del </w:t>
      </w:r>
      <w:r w:rsidRPr="00965DCA">
        <w:rPr>
          <w:rFonts w:ascii="Arial" w:eastAsia="Arial" w:hAnsi="Arial" w:cs="Arial"/>
          <w:b/>
          <w:bCs/>
          <w:sz w:val="24"/>
          <w:szCs w:val="24"/>
        </w:rPr>
        <w:t>Documento Técnico Catastral</w:t>
      </w:r>
      <w:r w:rsidRPr="00965DCA">
        <w:rPr>
          <w:rFonts w:ascii="Arial" w:eastAsia="Arial" w:hAnsi="Arial" w:cs="Arial"/>
          <w:sz w:val="24"/>
          <w:szCs w:val="24"/>
        </w:rPr>
        <w:t xml:space="preserve"> vigente que valide la cabida y linderos del predio, vinculando formalmente la cédula catastral existente con el nuevo folio a crear.</w:t>
      </w:r>
    </w:p>
    <w:p w14:paraId="17C861BF" w14:textId="77777777" w:rsidR="00965DCA" w:rsidRPr="00965DCA" w:rsidRDefault="00965DCA" w:rsidP="00965DCA">
      <w:pPr>
        <w:jc w:val="both"/>
        <w:rPr>
          <w:rFonts w:ascii="Arial" w:hAnsi="Arial" w:cs="Arial"/>
          <w:b/>
          <w:bCs/>
          <w:sz w:val="24"/>
          <w:szCs w:val="24"/>
        </w:rPr>
      </w:pPr>
    </w:p>
    <w:p w14:paraId="7D5A9524" w14:textId="77777777" w:rsidR="00965DCA" w:rsidRPr="00965DCA" w:rsidRDefault="00965DCA" w:rsidP="00965DCA">
      <w:pPr>
        <w:pStyle w:val="Prrafodelista"/>
        <w:numPr>
          <w:ilvl w:val="0"/>
          <w:numId w:val="2"/>
        </w:numPr>
        <w:spacing w:after="200" w:line="276" w:lineRule="auto"/>
        <w:jc w:val="both"/>
        <w:rPr>
          <w:b/>
          <w:bCs/>
          <w:sz w:val="24"/>
          <w:szCs w:val="24"/>
        </w:rPr>
      </w:pPr>
      <w:r w:rsidRPr="00965DCA">
        <w:rPr>
          <w:b/>
          <w:bCs/>
          <w:sz w:val="24"/>
          <w:szCs w:val="24"/>
        </w:rPr>
        <w:lastRenderedPageBreak/>
        <w:t>Predio identificado con NPN 258990000000000020045000000000 (actualmente NPN 258990000000000020173000000000)</w:t>
      </w:r>
    </w:p>
    <w:p w14:paraId="236CD3CD" w14:textId="77777777" w:rsidR="00965DCA" w:rsidRPr="00965DCA" w:rsidRDefault="00965DCA" w:rsidP="00965DCA">
      <w:pPr>
        <w:jc w:val="both"/>
        <w:rPr>
          <w:rFonts w:ascii="Arial" w:hAnsi="Arial" w:cs="Arial"/>
          <w:sz w:val="24"/>
          <w:szCs w:val="24"/>
        </w:rPr>
      </w:pPr>
      <w:r w:rsidRPr="00965DCA">
        <w:rPr>
          <w:rFonts w:ascii="Arial" w:eastAsia="Arial" w:hAnsi="Arial" w:cs="Arial"/>
          <w:b/>
          <w:bCs/>
          <w:sz w:val="24"/>
          <w:szCs w:val="24"/>
          <w:u w:val="single"/>
        </w:rPr>
        <w:t>Situación Fáctica y Jurídica:</w:t>
      </w:r>
      <w:r w:rsidRPr="00965DCA">
        <w:rPr>
          <w:rFonts w:ascii="Arial" w:eastAsia="Arial" w:hAnsi="Arial" w:cs="Arial"/>
          <w:b/>
          <w:bCs/>
          <w:sz w:val="24"/>
          <w:szCs w:val="24"/>
        </w:rPr>
        <w:t xml:space="preserve"> </w:t>
      </w:r>
      <w:r w:rsidRPr="00965DCA">
        <w:rPr>
          <w:rFonts w:ascii="Arial" w:eastAsia="Arial" w:hAnsi="Arial" w:cs="Arial"/>
          <w:sz w:val="24"/>
          <w:szCs w:val="24"/>
        </w:rPr>
        <w:t xml:space="preserve">En el marco del análisis técnico, catastral y registral del predio identificado históricamente con el Número Predial Nacional </w:t>
      </w:r>
      <w:r w:rsidRPr="00965DCA">
        <w:rPr>
          <w:rFonts w:ascii="Arial" w:eastAsia="Arial" w:hAnsi="Arial" w:cs="Arial"/>
          <w:b/>
          <w:bCs/>
          <w:sz w:val="24"/>
          <w:szCs w:val="24"/>
        </w:rPr>
        <w:t>258990000000000</w:t>
      </w:r>
      <w:r w:rsidRPr="00965DCA">
        <w:rPr>
          <w:rFonts w:ascii="Arial" w:eastAsia="Arial" w:hAnsi="Arial" w:cs="Arial"/>
          <w:b/>
          <w:bCs/>
          <w:sz w:val="24"/>
          <w:szCs w:val="24"/>
          <w:u w:val="single"/>
        </w:rPr>
        <w:t>020045</w:t>
      </w:r>
      <w:r w:rsidRPr="00965DCA">
        <w:rPr>
          <w:rFonts w:ascii="Arial" w:eastAsia="Arial" w:hAnsi="Arial" w:cs="Arial"/>
          <w:b/>
          <w:bCs/>
          <w:sz w:val="24"/>
          <w:szCs w:val="24"/>
        </w:rPr>
        <w:t>000000000</w:t>
      </w:r>
      <w:r w:rsidRPr="00965DCA">
        <w:rPr>
          <w:rFonts w:ascii="Arial" w:eastAsia="Arial" w:hAnsi="Arial" w:cs="Arial"/>
          <w:sz w:val="24"/>
          <w:szCs w:val="24"/>
        </w:rPr>
        <w:t xml:space="preserve">, se evidenció que, como consecuencia de las actualizaciones efectuadas por el gestor catastral del municipio de Zipaquirá, actualmente el inmueble se identifica con la cédula catastral </w:t>
      </w:r>
      <w:r w:rsidRPr="00965DCA">
        <w:rPr>
          <w:rFonts w:ascii="Arial" w:eastAsia="Arial" w:hAnsi="Arial" w:cs="Arial"/>
          <w:b/>
          <w:bCs/>
          <w:sz w:val="24"/>
          <w:szCs w:val="24"/>
        </w:rPr>
        <w:t>258990000000000020173000000000</w:t>
      </w:r>
      <w:r w:rsidRPr="00965DCA">
        <w:rPr>
          <w:rFonts w:ascii="Arial" w:eastAsia="Arial" w:hAnsi="Arial" w:cs="Arial"/>
          <w:sz w:val="24"/>
          <w:szCs w:val="24"/>
        </w:rPr>
        <w:t xml:space="preserve">. No obstante, al confrontar la información catastral vigente con los antecedentes documentales, registrales y cartográficos recopilados durante el presente diagnóstico, se identificó una inconsistencia respecto de la </w:t>
      </w:r>
      <w:r w:rsidRPr="00965DCA">
        <w:rPr>
          <w:rFonts w:ascii="Arial" w:eastAsia="Arial" w:hAnsi="Arial" w:cs="Arial"/>
          <w:b/>
          <w:bCs/>
          <w:sz w:val="24"/>
          <w:szCs w:val="24"/>
        </w:rPr>
        <w:t>Resolución No. 202471002267976 del 20 de febrero de 2024</w:t>
      </w:r>
      <w:r w:rsidRPr="00965DCA">
        <w:rPr>
          <w:rFonts w:ascii="Arial" w:eastAsia="Arial" w:hAnsi="Arial" w:cs="Arial"/>
          <w:sz w:val="24"/>
          <w:szCs w:val="24"/>
        </w:rPr>
        <w:t xml:space="preserve">, expedida por la </w:t>
      </w:r>
      <w:r w:rsidRPr="00965DCA">
        <w:rPr>
          <w:rFonts w:ascii="Arial" w:eastAsia="Arial" w:hAnsi="Arial" w:cs="Arial"/>
          <w:b/>
          <w:bCs/>
          <w:sz w:val="24"/>
          <w:szCs w:val="24"/>
        </w:rPr>
        <w:t>Agencia Nacional de Tierras (ANT)</w:t>
      </w:r>
      <w:r w:rsidRPr="00965DCA">
        <w:rPr>
          <w:rFonts w:ascii="Arial" w:eastAsia="Arial" w:hAnsi="Arial" w:cs="Arial"/>
          <w:sz w:val="24"/>
          <w:szCs w:val="24"/>
        </w:rPr>
        <w:t>, mediante la cual se adjudica dicho inmueble al Municipio de Zipaquirá.</w:t>
      </w:r>
    </w:p>
    <w:p w14:paraId="01FA9B7A"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 xml:space="preserve">La inconsistencia radica en que el polígono catastral correspondiente al antiguo predio </w:t>
      </w:r>
      <w:r w:rsidRPr="00965DCA">
        <w:rPr>
          <w:rFonts w:ascii="Arial" w:eastAsia="Arial" w:hAnsi="Arial" w:cs="Arial"/>
          <w:b/>
          <w:bCs/>
          <w:sz w:val="24"/>
          <w:szCs w:val="24"/>
        </w:rPr>
        <w:t>020045</w:t>
      </w:r>
      <w:r w:rsidRPr="00965DCA">
        <w:rPr>
          <w:rFonts w:ascii="Arial" w:eastAsia="Arial" w:hAnsi="Arial" w:cs="Arial"/>
          <w:sz w:val="24"/>
          <w:szCs w:val="24"/>
        </w:rPr>
        <w:t xml:space="preserve"> contiene en su interior diversos inmuebles plenamente individualizados e inscritos en el registro inmobiliario, identificados con los folios de matrícula inmobiliaria Nos. </w:t>
      </w:r>
      <w:r w:rsidRPr="00965DCA">
        <w:rPr>
          <w:rFonts w:ascii="Arial" w:eastAsia="Arial" w:hAnsi="Arial" w:cs="Arial"/>
          <w:b/>
          <w:bCs/>
          <w:sz w:val="24"/>
          <w:szCs w:val="24"/>
        </w:rPr>
        <w:t>176-34969, 176-22426, 176-29467, 176-19124, 176-22696, 176-23181, 176-34515, 176-34532, 176-23657 y 176-23655</w:t>
      </w:r>
      <w:r w:rsidRPr="00965DCA">
        <w:rPr>
          <w:rFonts w:ascii="Arial" w:eastAsia="Arial" w:hAnsi="Arial" w:cs="Arial"/>
          <w:sz w:val="24"/>
          <w:szCs w:val="24"/>
        </w:rPr>
        <w:t xml:space="preserve">, los cuales presentan antecedentes registrales que permiten establecer una cadena de tradición proveniente del </w:t>
      </w:r>
      <w:r w:rsidRPr="00965DCA">
        <w:rPr>
          <w:rFonts w:ascii="Arial" w:eastAsia="Arial" w:hAnsi="Arial" w:cs="Arial"/>
          <w:b/>
          <w:bCs/>
          <w:sz w:val="24"/>
          <w:szCs w:val="24"/>
        </w:rPr>
        <w:t>Banco de la República – Concesión Salinas</w:t>
      </w:r>
      <w:r w:rsidRPr="00965DCA">
        <w:rPr>
          <w:rFonts w:ascii="Arial" w:eastAsia="Arial" w:hAnsi="Arial" w:cs="Arial"/>
          <w:sz w:val="24"/>
          <w:szCs w:val="24"/>
        </w:rPr>
        <w:t xml:space="preserve">, posteriormente del </w:t>
      </w:r>
      <w:r w:rsidRPr="00965DCA">
        <w:rPr>
          <w:rFonts w:ascii="Arial" w:eastAsia="Arial" w:hAnsi="Arial" w:cs="Arial"/>
          <w:b/>
          <w:bCs/>
          <w:sz w:val="24"/>
          <w:szCs w:val="24"/>
        </w:rPr>
        <w:t>Instituto de Fomento Industrial (IFI)</w:t>
      </w:r>
      <w:r w:rsidRPr="00965DCA">
        <w:rPr>
          <w:rFonts w:ascii="Arial" w:eastAsia="Arial" w:hAnsi="Arial" w:cs="Arial"/>
          <w:sz w:val="24"/>
          <w:szCs w:val="24"/>
        </w:rPr>
        <w:t xml:space="preserve"> y finalmente del </w:t>
      </w:r>
      <w:r w:rsidRPr="00965DCA">
        <w:rPr>
          <w:rFonts w:ascii="Arial" w:eastAsia="Arial" w:hAnsi="Arial" w:cs="Arial"/>
          <w:b/>
          <w:bCs/>
          <w:sz w:val="24"/>
          <w:szCs w:val="24"/>
        </w:rPr>
        <w:t>Ministerio de Minas y Energía</w:t>
      </w:r>
      <w:r w:rsidRPr="00965DCA">
        <w:rPr>
          <w:rFonts w:ascii="Arial" w:eastAsia="Arial" w:hAnsi="Arial" w:cs="Arial"/>
          <w:sz w:val="24"/>
          <w:szCs w:val="24"/>
        </w:rPr>
        <w:t>, en virtud de la transferencia de bienes efectuada con ocasión de la liquidación del IFI.</w:t>
      </w:r>
    </w:p>
    <w:p w14:paraId="4787D2C6"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 xml:space="preserve">Desde el punto de vista, esta circunstancia constituye un elemento relevante de análisis, en la medida en que la existencia de inmuebles con tradición registral consolidada dentro del área objeto de adjudicación, resulta incompatible, en principio, con la naturaleza jurídica de un bien baldío, lo que hace necesario profundizar el estudio de los antecedentes registrales. En este orden de ideas, se recomienda, antes de adoptar cualquier actuación administrativa relacionada con el inmueble, solicitar análisis y concepto a la Oficina Asesora Jurídica del Ministerio de Minas y Energía para que se determine la ruta más idónea a seguir. </w:t>
      </w:r>
    </w:p>
    <w:p w14:paraId="65DD3BAD"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 xml:space="preserve">Así mismo, se encuentra en curso el análisis jurídico del </w:t>
      </w:r>
      <w:r w:rsidRPr="00965DCA">
        <w:rPr>
          <w:rFonts w:ascii="Arial" w:eastAsia="Arial" w:hAnsi="Arial" w:cs="Arial"/>
          <w:b/>
          <w:bCs/>
          <w:sz w:val="24"/>
          <w:szCs w:val="24"/>
        </w:rPr>
        <w:t>folio de matrícula inmobiliaria matriz No. 176-5929</w:t>
      </w:r>
      <w:r w:rsidRPr="00965DCA">
        <w:rPr>
          <w:rFonts w:ascii="Arial" w:eastAsia="Arial" w:hAnsi="Arial" w:cs="Arial"/>
          <w:sz w:val="24"/>
          <w:szCs w:val="24"/>
        </w:rPr>
        <w:t>, del cual aparentemente derivan los inmuebles anteriormente relacionados, con el propósito de reconstruir integralmente la tradición del predio y verificar la correspondencia entre la realidad registral, catastral y física.</w:t>
      </w:r>
    </w:p>
    <w:p w14:paraId="734739BB" w14:textId="77777777" w:rsidR="00965DCA" w:rsidRPr="00965DCA" w:rsidRDefault="00965DCA" w:rsidP="00965DCA">
      <w:pPr>
        <w:jc w:val="both"/>
        <w:rPr>
          <w:rFonts w:ascii="Arial" w:hAnsi="Arial" w:cs="Arial"/>
          <w:sz w:val="24"/>
          <w:szCs w:val="24"/>
        </w:rPr>
      </w:pPr>
    </w:p>
    <w:p w14:paraId="0E7EABA1" w14:textId="77777777" w:rsidR="00965DCA" w:rsidRPr="00965DCA" w:rsidRDefault="00965DCA" w:rsidP="00965DCA">
      <w:pPr>
        <w:jc w:val="both"/>
        <w:rPr>
          <w:rFonts w:ascii="Arial" w:hAnsi="Arial" w:cs="Arial"/>
          <w:sz w:val="24"/>
          <w:szCs w:val="24"/>
        </w:rPr>
      </w:pPr>
      <w:r w:rsidRPr="00965DCA">
        <w:rPr>
          <w:rFonts w:ascii="Arial" w:eastAsia="Arial" w:hAnsi="Arial" w:cs="Arial"/>
          <w:b/>
          <w:bCs/>
          <w:sz w:val="24"/>
          <w:szCs w:val="24"/>
          <w:u w:val="single"/>
        </w:rPr>
        <w:lastRenderedPageBreak/>
        <w:t xml:space="preserve">Ruta de Saneamiento: </w:t>
      </w:r>
      <w:r w:rsidRPr="00965DCA">
        <w:rPr>
          <w:rFonts w:ascii="Arial" w:eastAsia="Arial" w:hAnsi="Arial" w:cs="Arial"/>
          <w:sz w:val="24"/>
          <w:szCs w:val="24"/>
        </w:rPr>
        <w:t>De conformidad con los hallazgos obtenidos durante el diagnóstico, se considera procedente adelantar una revisión integral de la información registral, catastral y administrativa del inmueble, orientada a establecer con precisión la naturaleza jurídica del área objeto de análisis.</w:t>
      </w:r>
    </w:p>
    <w:p w14:paraId="57FE614F" w14:textId="5A8FBBD2"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Para tal efecto, será necesario:</w:t>
      </w:r>
    </w:p>
    <w:p w14:paraId="54E805E4" w14:textId="77777777" w:rsidR="00965DCA" w:rsidRPr="00965DCA" w:rsidRDefault="00965DCA" w:rsidP="00965DCA">
      <w:pPr>
        <w:pStyle w:val="Prrafodelista"/>
        <w:numPr>
          <w:ilvl w:val="0"/>
          <w:numId w:val="3"/>
        </w:numPr>
        <w:spacing w:after="200" w:line="276" w:lineRule="auto"/>
        <w:jc w:val="both"/>
        <w:rPr>
          <w:sz w:val="24"/>
          <w:szCs w:val="24"/>
        </w:rPr>
      </w:pPr>
      <w:r w:rsidRPr="00965DCA">
        <w:rPr>
          <w:sz w:val="24"/>
          <w:szCs w:val="24"/>
        </w:rPr>
        <w:t xml:space="preserve">Reconstruir la trazabilidad entre el antiguo Número Predial Nacional </w:t>
      </w:r>
      <w:r w:rsidRPr="00965DCA">
        <w:rPr>
          <w:b/>
          <w:bCs/>
          <w:sz w:val="24"/>
          <w:szCs w:val="24"/>
        </w:rPr>
        <w:t>258990000000000020045000000000</w:t>
      </w:r>
      <w:r w:rsidRPr="00965DCA">
        <w:rPr>
          <w:sz w:val="24"/>
          <w:szCs w:val="24"/>
        </w:rPr>
        <w:t xml:space="preserve"> y la actual cédula catastral </w:t>
      </w:r>
      <w:r w:rsidRPr="00965DCA">
        <w:rPr>
          <w:b/>
          <w:bCs/>
          <w:sz w:val="24"/>
          <w:szCs w:val="24"/>
        </w:rPr>
        <w:t>258990000000000020173000000000</w:t>
      </w:r>
      <w:r w:rsidRPr="00965DCA">
        <w:rPr>
          <w:sz w:val="24"/>
          <w:szCs w:val="24"/>
        </w:rPr>
        <w:t xml:space="preserve">, identificando las modificaciones catastrales que dieron origen al cambio de identificación. </w:t>
      </w:r>
    </w:p>
    <w:p w14:paraId="6436CEC6" w14:textId="77777777" w:rsidR="00965DCA" w:rsidRPr="00965DCA" w:rsidRDefault="00965DCA" w:rsidP="00965DCA">
      <w:pPr>
        <w:pStyle w:val="Prrafodelista"/>
        <w:numPr>
          <w:ilvl w:val="0"/>
          <w:numId w:val="3"/>
        </w:numPr>
        <w:spacing w:after="200" w:line="276" w:lineRule="auto"/>
        <w:jc w:val="both"/>
        <w:rPr>
          <w:sz w:val="24"/>
          <w:szCs w:val="24"/>
        </w:rPr>
      </w:pPr>
      <w:r w:rsidRPr="00965DCA">
        <w:rPr>
          <w:sz w:val="24"/>
          <w:szCs w:val="24"/>
        </w:rPr>
        <w:t xml:space="preserve">Finalizar el análisis jurídico del folio de matrícula inmobiliaria matriz </w:t>
      </w:r>
      <w:r w:rsidRPr="00965DCA">
        <w:rPr>
          <w:b/>
          <w:bCs/>
          <w:sz w:val="24"/>
          <w:szCs w:val="24"/>
        </w:rPr>
        <w:t>176-5929</w:t>
      </w:r>
      <w:r w:rsidRPr="00965DCA">
        <w:rPr>
          <w:sz w:val="24"/>
          <w:szCs w:val="24"/>
        </w:rPr>
        <w:t xml:space="preserve">, estableciendo las segregaciones, transferencias y demás actos registrales derivados del mismo. </w:t>
      </w:r>
    </w:p>
    <w:p w14:paraId="25A75EB1" w14:textId="77777777" w:rsidR="00965DCA" w:rsidRPr="00965DCA" w:rsidRDefault="00965DCA" w:rsidP="00965DCA">
      <w:pPr>
        <w:pStyle w:val="Prrafodelista"/>
        <w:numPr>
          <w:ilvl w:val="0"/>
          <w:numId w:val="3"/>
        </w:numPr>
        <w:spacing w:after="200" w:line="276" w:lineRule="auto"/>
        <w:jc w:val="both"/>
        <w:rPr>
          <w:sz w:val="24"/>
          <w:szCs w:val="24"/>
        </w:rPr>
      </w:pPr>
      <w:r w:rsidRPr="00965DCA">
        <w:rPr>
          <w:sz w:val="24"/>
          <w:szCs w:val="24"/>
        </w:rPr>
        <w:t xml:space="preserve">Contrastar la delimitación contenida en la Resolución No. 202471002267976 de 2024 con la cartografía oficial, la información catastral histórica (R1, R2 e IGAC) y la realidad física, la cual debe verificarse en campo. </w:t>
      </w:r>
    </w:p>
    <w:p w14:paraId="20E88132" w14:textId="77777777" w:rsidR="00965DCA" w:rsidRPr="00965DCA" w:rsidRDefault="00965DCA" w:rsidP="00965DCA">
      <w:pPr>
        <w:pStyle w:val="Prrafodelista"/>
        <w:numPr>
          <w:ilvl w:val="0"/>
          <w:numId w:val="3"/>
        </w:numPr>
        <w:spacing w:after="200" w:line="276" w:lineRule="auto"/>
        <w:jc w:val="both"/>
        <w:rPr>
          <w:sz w:val="24"/>
          <w:szCs w:val="24"/>
        </w:rPr>
      </w:pPr>
      <w:r w:rsidRPr="00965DCA">
        <w:rPr>
          <w:sz w:val="24"/>
          <w:szCs w:val="24"/>
        </w:rPr>
        <w:t xml:space="preserve">Determinar la correspondencia espacial entre el área adjudicada y los inmuebles que actualmente cuentan con matrícula inmobiliaria independiente, con el fin de identificar posibles superposiciones jurídicas o catastrales. </w:t>
      </w:r>
    </w:p>
    <w:p w14:paraId="12B12D4A" w14:textId="77777777" w:rsidR="00965DCA" w:rsidRPr="00965DCA" w:rsidRDefault="00965DCA" w:rsidP="00965DCA">
      <w:pPr>
        <w:pStyle w:val="Prrafodelista"/>
        <w:numPr>
          <w:ilvl w:val="0"/>
          <w:numId w:val="3"/>
        </w:numPr>
        <w:spacing w:after="200" w:line="276" w:lineRule="auto"/>
        <w:jc w:val="both"/>
        <w:rPr>
          <w:sz w:val="24"/>
          <w:szCs w:val="24"/>
        </w:rPr>
      </w:pPr>
      <w:r w:rsidRPr="00965DCA">
        <w:rPr>
          <w:sz w:val="24"/>
          <w:szCs w:val="24"/>
        </w:rPr>
        <w:t>Evaluar, con fundamento en los resultados obtenidos, la necesidad de promover las actuaciones administrativas o judiciales que resulten procedentes para la protección del patrimonio inmobiliario de la Nación.</w:t>
      </w:r>
    </w:p>
    <w:p w14:paraId="0D2AC7BD" w14:textId="57255B94" w:rsidR="00965DCA" w:rsidRPr="00965DCA" w:rsidRDefault="00965DCA" w:rsidP="00965DCA">
      <w:pPr>
        <w:jc w:val="both"/>
        <w:rPr>
          <w:rFonts w:ascii="Arial" w:hAnsi="Arial" w:cs="Arial"/>
          <w:sz w:val="24"/>
          <w:szCs w:val="24"/>
        </w:rPr>
      </w:pPr>
      <w:r w:rsidRPr="00965DCA">
        <w:rPr>
          <w:rFonts w:ascii="Arial" w:eastAsia="Arial" w:hAnsi="Arial" w:cs="Arial"/>
          <w:b/>
          <w:bCs/>
          <w:sz w:val="24"/>
          <w:szCs w:val="24"/>
        </w:rPr>
        <w:t xml:space="preserve">Saneamiento de la Tradición: </w:t>
      </w:r>
      <w:r w:rsidRPr="00965DCA">
        <w:rPr>
          <w:rFonts w:ascii="Arial" w:eastAsia="Arial" w:hAnsi="Arial" w:cs="Arial"/>
          <w:sz w:val="24"/>
          <w:szCs w:val="24"/>
        </w:rPr>
        <w:t xml:space="preserve">Con fundamento en la información analizada hasta la fecha, no se advierte una ausencia de tradición sobre el inmueble objeto de estudio; por el contrario, los antecedentes recopilados permiten identificar una posible cadena de dominio asociada al </w:t>
      </w:r>
      <w:r w:rsidRPr="00965DCA">
        <w:rPr>
          <w:rFonts w:ascii="Arial" w:eastAsia="Arial" w:hAnsi="Arial" w:cs="Arial"/>
          <w:b/>
          <w:bCs/>
          <w:sz w:val="24"/>
          <w:szCs w:val="24"/>
        </w:rPr>
        <w:t>Banco de la República – Concesión Salinas</w:t>
      </w:r>
      <w:r w:rsidRPr="00965DCA">
        <w:rPr>
          <w:rFonts w:ascii="Arial" w:eastAsia="Arial" w:hAnsi="Arial" w:cs="Arial"/>
          <w:sz w:val="24"/>
          <w:szCs w:val="24"/>
        </w:rPr>
        <w:t xml:space="preserve">, posteriormente al </w:t>
      </w:r>
      <w:r w:rsidRPr="00965DCA">
        <w:rPr>
          <w:rFonts w:ascii="Arial" w:eastAsia="Arial" w:hAnsi="Arial" w:cs="Arial"/>
          <w:b/>
          <w:bCs/>
          <w:sz w:val="24"/>
          <w:szCs w:val="24"/>
        </w:rPr>
        <w:t>Instituto de Fomento Industrial (IFI)</w:t>
      </w:r>
      <w:r w:rsidRPr="00965DCA">
        <w:rPr>
          <w:rFonts w:ascii="Arial" w:eastAsia="Arial" w:hAnsi="Arial" w:cs="Arial"/>
          <w:sz w:val="24"/>
          <w:szCs w:val="24"/>
        </w:rPr>
        <w:t xml:space="preserve"> y finalmente al </w:t>
      </w:r>
      <w:r w:rsidRPr="00965DCA">
        <w:rPr>
          <w:rFonts w:ascii="Arial" w:eastAsia="Arial" w:hAnsi="Arial" w:cs="Arial"/>
          <w:b/>
          <w:bCs/>
          <w:sz w:val="24"/>
          <w:szCs w:val="24"/>
        </w:rPr>
        <w:t>Ministerio de Minas y Energía</w:t>
      </w:r>
      <w:r w:rsidRPr="00965DCA">
        <w:rPr>
          <w:rFonts w:ascii="Arial" w:eastAsia="Arial" w:hAnsi="Arial" w:cs="Arial"/>
          <w:sz w:val="24"/>
          <w:szCs w:val="24"/>
        </w:rPr>
        <w:t xml:space="preserve">, circunstancia que deberá ser plenamente corroborada mediante el estudio del folio matriz No. </w:t>
      </w:r>
      <w:r w:rsidRPr="00965DCA">
        <w:rPr>
          <w:rFonts w:ascii="Arial" w:eastAsia="Arial" w:hAnsi="Arial" w:cs="Arial"/>
          <w:b/>
          <w:bCs/>
          <w:sz w:val="24"/>
          <w:szCs w:val="24"/>
        </w:rPr>
        <w:t>176-5929</w:t>
      </w:r>
      <w:r w:rsidRPr="00965DCA">
        <w:rPr>
          <w:rFonts w:ascii="Arial" w:eastAsia="Arial" w:hAnsi="Arial" w:cs="Arial"/>
          <w:sz w:val="24"/>
          <w:szCs w:val="24"/>
        </w:rPr>
        <w:t xml:space="preserve"> y de los folios derivados del mismo.</w:t>
      </w:r>
    </w:p>
    <w:p w14:paraId="3D3D5482"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 xml:space="preserve">En consecuencia, el proceso de saneamiento no se orienta a la constitución de una nueva tradición o a la apertura de un folio de matrícula inmobiliaria, sino a la </w:t>
      </w:r>
      <w:r w:rsidRPr="00965DCA">
        <w:rPr>
          <w:rFonts w:ascii="Arial" w:eastAsia="Arial" w:hAnsi="Arial" w:cs="Arial"/>
          <w:b/>
          <w:bCs/>
          <w:sz w:val="24"/>
          <w:szCs w:val="24"/>
        </w:rPr>
        <w:t>clarificación y consolidación de la información registral, catastral y administrativa</w:t>
      </w:r>
      <w:r w:rsidRPr="00965DCA">
        <w:rPr>
          <w:rFonts w:ascii="Arial" w:eastAsia="Arial" w:hAnsi="Arial" w:cs="Arial"/>
          <w:sz w:val="24"/>
          <w:szCs w:val="24"/>
        </w:rPr>
        <w:t>, garantizando la correspondencia entre la realidad jurídica del inmueble y la información contenida en las bases de datos oficiales.</w:t>
      </w:r>
    </w:p>
    <w:p w14:paraId="74DFD790" w14:textId="77777777" w:rsidR="00965DCA" w:rsidRPr="00965DCA" w:rsidRDefault="00965DCA" w:rsidP="00965DCA">
      <w:pPr>
        <w:jc w:val="both"/>
        <w:rPr>
          <w:rFonts w:ascii="Arial" w:hAnsi="Arial" w:cs="Arial"/>
          <w:sz w:val="24"/>
          <w:szCs w:val="24"/>
        </w:rPr>
      </w:pPr>
    </w:p>
    <w:p w14:paraId="4A5DB56F"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En caso de confirmarse que el área adjudicada mediante la R</w:t>
      </w:r>
      <w:r w:rsidRPr="00965DCA">
        <w:rPr>
          <w:rFonts w:ascii="Arial" w:eastAsia="Arial" w:hAnsi="Arial" w:cs="Arial"/>
          <w:b/>
          <w:bCs/>
          <w:sz w:val="24"/>
          <w:szCs w:val="24"/>
        </w:rPr>
        <w:t>esolución No. 202471002267976 de 2024</w:t>
      </w:r>
      <w:r w:rsidRPr="00965DCA">
        <w:rPr>
          <w:rFonts w:ascii="Arial" w:eastAsia="Arial" w:hAnsi="Arial" w:cs="Arial"/>
          <w:sz w:val="24"/>
          <w:szCs w:val="24"/>
        </w:rPr>
        <w:t xml:space="preserve"> comprende bienes con tradición privada o fiscal previamente consolidada, corresponderá al Ministerio de Minas y Energía evaluar las acciones administrativas y judiciales necesarias para salvaguardar los derechos patrimoniales de la Nación y obtener la armonización entre la información registral, catastral y administrativa.</w:t>
      </w:r>
    </w:p>
    <w:p w14:paraId="73343C9E" w14:textId="77777777" w:rsidR="00965DCA" w:rsidRPr="00965DCA" w:rsidRDefault="00965DCA" w:rsidP="00965DCA">
      <w:pPr>
        <w:pStyle w:val="Prrafodelista"/>
        <w:numPr>
          <w:ilvl w:val="0"/>
          <w:numId w:val="2"/>
        </w:numPr>
        <w:spacing w:after="200" w:line="276" w:lineRule="auto"/>
        <w:jc w:val="both"/>
        <w:rPr>
          <w:b/>
          <w:bCs/>
          <w:sz w:val="24"/>
          <w:szCs w:val="24"/>
        </w:rPr>
      </w:pPr>
      <w:r w:rsidRPr="00965DCA">
        <w:rPr>
          <w:b/>
          <w:bCs/>
          <w:sz w:val="24"/>
          <w:szCs w:val="24"/>
        </w:rPr>
        <w:t>Predios sin matrícula inmobiliaria individualizada – Antiguo Barrio Santiago Pérez</w:t>
      </w:r>
    </w:p>
    <w:p w14:paraId="3787966D" w14:textId="4F371302"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 xml:space="preserve">Durante el proceso de revisión técnica, jurídica y catastral de los bienes objeto del presente informe, se identificó un conjunto de inmuebles ubicados en el sector conocido actualmente como </w:t>
      </w:r>
      <w:r w:rsidRPr="00965DCA">
        <w:rPr>
          <w:rFonts w:ascii="Arial" w:eastAsia="Arial" w:hAnsi="Arial" w:cs="Arial"/>
          <w:b/>
          <w:bCs/>
          <w:sz w:val="24"/>
          <w:szCs w:val="24"/>
        </w:rPr>
        <w:t>Barrio Santiago Pérez</w:t>
      </w:r>
      <w:r w:rsidRPr="00965DCA">
        <w:rPr>
          <w:rFonts w:ascii="Arial" w:eastAsia="Arial" w:hAnsi="Arial" w:cs="Arial"/>
          <w:sz w:val="24"/>
          <w:szCs w:val="24"/>
        </w:rPr>
        <w:t>, los cuales fueron relacionados dentro del Acta de Entrega emitida por el Instituto de Fomento Industrial (IFI) en Liquidación N° 003, en la cual se relaciona el número de matrícula inmobiliaria 176-34516. No obstante, dichos bienes cuentan con identificación catastral diferenciada y vigente, y no responden todos al mismo número de matrícula inmobiliaria. A la fecha no fue posible establecer la existencia de un folio de matrícula inmobiliaria individual para cada uno de ellos.</w:t>
      </w:r>
    </w:p>
    <w:p w14:paraId="66157CAB" w14:textId="0EE11031"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Los inmuebles identificados corresponden a:</w:t>
      </w:r>
    </w:p>
    <w:tbl>
      <w:tblPr>
        <w:tblW w:w="0" w:type="auto"/>
        <w:tblLook w:val="06A0" w:firstRow="1" w:lastRow="0" w:firstColumn="1" w:lastColumn="0" w:noHBand="1" w:noVBand="1"/>
      </w:tblPr>
      <w:tblGrid>
        <w:gridCol w:w="4931"/>
        <w:gridCol w:w="4463"/>
      </w:tblGrid>
      <w:tr w:rsidR="00965DCA" w:rsidRPr="00965DCA" w14:paraId="38AF6492" w14:textId="77777777" w:rsidTr="0037006D">
        <w:trPr>
          <w:trHeight w:val="285"/>
        </w:trPr>
        <w:tc>
          <w:tcPr>
            <w:tcW w:w="49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5CA1AF" w14:textId="77777777" w:rsidR="00965DCA" w:rsidRPr="00965DCA" w:rsidRDefault="00965DCA" w:rsidP="00965DCA">
            <w:pPr>
              <w:jc w:val="both"/>
              <w:rPr>
                <w:rFonts w:ascii="Arial" w:hAnsi="Arial" w:cs="Arial"/>
                <w:b/>
                <w:bCs/>
                <w:color w:val="000000" w:themeColor="text1"/>
                <w:sz w:val="24"/>
                <w:szCs w:val="24"/>
              </w:rPr>
            </w:pPr>
            <w:r w:rsidRPr="00965DCA">
              <w:rPr>
                <w:rFonts w:ascii="Arial" w:eastAsia="Arial" w:hAnsi="Arial" w:cs="Arial"/>
                <w:b/>
                <w:bCs/>
                <w:color w:val="000000" w:themeColor="text1"/>
                <w:sz w:val="24"/>
                <w:szCs w:val="24"/>
              </w:rPr>
              <w:t>CASA 73</w:t>
            </w:r>
          </w:p>
        </w:tc>
        <w:tc>
          <w:tcPr>
            <w:tcW w:w="447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B39030" w14:textId="77777777" w:rsidR="00965DCA" w:rsidRPr="00965DCA" w:rsidRDefault="00965DCA" w:rsidP="00965DCA">
            <w:pPr>
              <w:jc w:val="both"/>
              <w:rPr>
                <w:rFonts w:ascii="Arial" w:hAnsi="Arial" w:cs="Arial"/>
                <w:b/>
                <w:bCs/>
                <w:color w:val="000000" w:themeColor="text1"/>
                <w:sz w:val="24"/>
                <w:szCs w:val="24"/>
              </w:rPr>
            </w:pPr>
            <w:r w:rsidRPr="00965DCA">
              <w:rPr>
                <w:rFonts w:ascii="Arial" w:eastAsia="Arial" w:hAnsi="Arial" w:cs="Arial"/>
                <w:b/>
                <w:bCs/>
                <w:color w:val="000000" w:themeColor="text1"/>
                <w:sz w:val="24"/>
                <w:szCs w:val="24"/>
              </w:rPr>
              <w:t>258990000000000020155000000000</w:t>
            </w:r>
          </w:p>
        </w:tc>
      </w:tr>
      <w:tr w:rsidR="00965DCA" w:rsidRPr="00965DCA" w14:paraId="19655522" w14:textId="77777777" w:rsidTr="0037006D">
        <w:trPr>
          <w:trHeight w:val="285"/>
        </w:trPr>
        <w:tc>
          <w:tcPr>
            <w:tcW w:w="49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B1F46E" w14:textId="77777777" w:rsidR="00965DCA" w:rsidRPr="00965DCA" w:rsidRDefault="00965DCA" w:rsidP="00965DCA">
            <w:pPr>
              <w:jc w:val="both"/>
              <w:rPr>
                <w:rFonts w:ascii="Arial" w:hAnsi="Arial" w:cs="Arial"/>
                <w:b/>
                <w:bCs/>
                <w:color w:val="000000" w:themeColor="text1"/>
                <w:sz w:val="24"/>
                <w:szCs w:val="24"/>
              </w:rPr>
            </w:pPr>
            <w:r w:rsidRPr="00965DCA">
              <w:rPr>
                <w:rFonts w:ascii="Arial" w:eastAsia="Arial" w:hAnsi="Arial" w:cs="Arial"/>
                <w:b/>
                <w:bCs/>
                <w:color w:val="000000" w:themeColor="text1"/>
                <w:sz w:val="24"/>
                <w:szCs w:val="24"/>
              </w:rPr>
              <w:t>LOTE PARCELAS VIA PACHO SP</w:t>
            </w:r>
          </w:p>
        </w:tc>
        <w:tc>
          <w:tcPr>
            <w:tcW w:w="447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FAED10" w14:textId="77777777" w:rsidR="00965DCA" w:rsidRPr="00965DCA" w:rsidRDefault="00965DCA" w:rsidP="00965DCA">
            <w:pPr>
              <w:jc w:val="both"/>
              <w:rPr>
                <w:rFonts w:ascii="Arial" w:hAnsi="Arial" w:cs="Arial"/>
                <w:b/>
                <w:bCs/>
                <w:color w:val="000000" w:themeColor="text1"/>
                <w:sz w:val="24"/>
                <w:szCs w:val="24"/>
              </w:rPr>
            </w:pPr>
            <w:r w:rsidRPr="00965DCA">
              <w:rPr>
                <w:rFonts w:ascii="Arial" w:eastAsia="Arial" w:hAnsi="Arial" w:cs="Arial"/>
                <w:b/>
                <w:bCs/>
                <w:color w:val="000000" w:themeColor="text1"/>
                <w:sz w:val="24"/>
                <w:szCs w:val="24"/>
              </w:rPr>
              <w:t>258990000000000020123000000000</w:t>
            </w:r>
          </w:p>
        </w:tc>
      </w:tr>
      <w:tr w:rsidR="00965DCA" w:rsidRPr="00965DCA" w14:paraId="4D0CB555" w14:textId="77777777" w:rsidTr="0037006D">
        <w:trPr>
          <w:trHeight w:val="285"/>
        </w:trPr>
        <w:tc>
          <w:tcPr>
            <w:tcW w:w="49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7FB66B" w14:textId="77777777" w:rsidR="00965DCA" w:rsidRPr="00965DCA" w:rsidRDefault="00965DCA" w:rsidP="00965DCA">
            <w:pPr>
              <w:jc w:val="both"/>
              <w:rPr>
                <w:rFonts w:ascii="Arial" w:hAnsi="Arial" w:cs="Arial"/>
                <w:b/>
                <w:bCs/>
                <w:color w:val="000000" w:themeColor="text1"/>
                <w:sz w:val="24"/>
                <w:szCs w:val="24"/>
              </w:rPr>
            </w:pPr>
            <w:r w:rsidRPr="00965DCA">
              <w:rPr>
                <w:rFonts w:ascii="Arial" w:eastAsia="Arial" w:hAnsi="Arial" w:cs="Arial"/>
                <w:b/>
                <w:bCs/>
                <w:color w:val="000000" w:themeColor="text1"/>
                <w:sz w:val="24"/>
                <w:szCs w:val="24"/>
              </w:rPr>
              <w:t>LOTE ARBORIZACIÓN IGLESIA SP</w:t>
            </w:r>
          </w:p>
        </w:tc>
        <w:tc>
          <w:tcPr>
            <w:tcW w:w="447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860222" w14:textId="77777777" w:rsidR="00965DCA" w:rsidRPr="00965DCA" w:rsidRDefault="00965DCA" w:rsidP="00965DCA">
            <w:pPr>
              <w:jc w:val="both"/>
              <w:rPr>
                <w:rFonts w:ascii="Arial" w:hAnsi="Arial" w:cs="Arial"/>
                <w:b/>
                <w:bCs/>
                <w:color w:val="000000" w:themeColor="text1"/>
                <w:sz w:val="24"/>
                <w:szCs w:val="24"/>
              </w:rPr>
            </w:pPr>
            <w:r w:rsidRPr="00965DCA">
              <w:rPr>
                <w:rFonts w:ascii="Arial" w:eastAsia="Arial" w:hAnsi="Arial" w:cs="Arial"/>
                <w:b/>
                <w:bCs/>
                <w:color w:val="000000" w:themeColor="text1"/>
                <w:sz w:val="24"/>
                <w:szCs w:val="24"/>
              </w:rPr>
              <w:t>258990000000000020156000000000</w:t>
            </w:r>
          </w:p>
        </w:tc>
      </w:tr>
      <w:tr w:rsidR="00965DCA" w:rsidRPr="00965DCA" w14:paraId="08B41960" w14:textId="77777777" w:rsidTr="0037006D">
        <w:trPr>
          <w:trHeight w:val="285"/>
        </w:trPr>
        <w:tc>
          <w:tcPr>
            <w:tcW w:w="49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9555B1" w14:textId="77777777" w:rsidR="00965DCA" w:rsidRPr="00965DCA" w:rsidRDefault="00965DCA" w:rsidP="00965DCA">
            <w:pPr>
              <w:jc w:val="both"/>
              <w:rPr>
                <w:rFonts w:ascii="Arial" w:hAnsi="Arial" w:cs="Arial"/>
                <w:b/>
                <w:bCs/>
                <w:color w:val="000000" w:themeColor="text1"/>
                <w:sz w:val="24"/>
                <w:szCs w:val="24"/>
              </w:rPr>
            </w:pPr>
            <w:r w:rsidRPr="00965DCA">
              <w:rPr>
                <w:rFonts w:ascii="Arial" w:eastAsia="Arial" w:hAnsi="Arial" w:cs="Arial"/>
                <w:b/>
                <w:bCs/>
                <w:color w:val="000000" w:themeColor="text1"/>
                <w:sz w:val="24"/>
                <w:szCs w:val="24"/>
              </w:rPr>
              <w:t>LOTE PARQUE INFANTIL SP</w:t>
            </w:r>
          </w:p>
        </w:tc>
        <w:tc>
          <w:tcPr>
            <w:tcW w:w="447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B056302" w14:textId="77777777" w:rsidR="00965DCA" w:rsidRPr="00965DCA" w:rsidRDefault="00965DCA" w:rsidP="00965DCA">
            <w:pPr>
              <w:jc w:val="both"/>
              <w:rPr>
                <w:rFonts w:ascii="Arial" w:hAnsi="Arial" w:cs="Arial"/>
                <w:b/>
                <w:bCs/>
                <w:color w:val="000000" w:themeColor="text1"/>
                <w:sz w:val="24"/>
                <w:szCs w:val="24"/>
              </w:rPr>
            </w:pPr>
            <w:r w:rsidRPr="00965DCA">
              <w:rPr>
                <w:rFonts w:ascii="Arial" w:eastAsia="Arial" w:hAnsi="Arial" w:cs="Arial"/>
                <w:b/>
                <w:bCs/>
                <w:color w:val="000000" w:themeColor="text1"/>
                <w:sz w:val="24"/>
                <w:szCs w:val="24"/>
              </w:rPr>
              <w:t>258990000000000020157000000000</w:t>
            </w:r>
          </w:p>
        </w:tc>
      </w:tr>
    </w:tbl>
    <w:p w14:paraId="003E1C98" w14:textId="77777777" w:rsidR="00965DCA" w:rsidRPr="00965DCA" w:rsidRDefault="00965DCA" w:rsidP="00965DCA">
      <w:pPr>
        <w:jc w:val="both"/>
        <w:rPr>
          <w:rFonts w:ascii="Arial" w:hAnsi="Arial" w:cs="Arial"/>
          <w:b/>
          <w:bCs/>
          <w:sz w:val="24"/>
          <w:szCs w:val="24"/>
        </w:rPr>
      </w:pPr>
    </w:p>
    <w:p w14:paraId="69DBA6D8"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Como parte de la verificación realizada en campo y de las entrevistas informales efectuadas con habitantes del sector, se recopiló información según la cual el actual Barrio Santiago Pérez habría correspondido históricamente a un complejo habitacional desarrollado por el entonces Instituto de Fomento Industrial (IFI) para el alojamiento de trabajadores vinculados a la explotación de las Salinas de Zipaquirá. De acuerdo con dichos testimonios, el conjunto contaba con viviendas y equipamientos comunitarios, entre ellos escuela, iglesia, parque infantil y zonas arborizadas.</w:t>
      </w:r>
    </w:p>
    <w:p w14:paraId="2A9C8C15" w14:textId="77777777" w:rsidR="00965DCA" w:rsidRPr="00965DCA" w:rsidRDefault="00965DCA" w:rsidP="00965DCA">
      <w:pPr>
        <w:jc w:val="both"/>
        <w:rPr>
          <w:rFonts w:ascii="Arial" w:hAnsi="Arial" w:cs="Arial"/>
          <w:sz w:val="24"/>
          <w:szCs w:val="24"/>
        </w:rPr>
      </w:pPr>
    </w:p>
    <w:p w14:paraId="472914A7" w14:textId="6B36E0D2"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Según la información suministrada por los residentes, con ocasión del proceso de liquidación del IFI el barrio habría sido progresivamente desocupado y abandonado, presentándose posteriormente la demolición de la mayoría de las edificaciones. Actualmente permanecen únicamente algunos ocupantes, mientras que gran parte de las áreas originalmente destinadas al conjunto presentan transformaciones físicas y cambios en su ocupación.</w:t>
      </w:r>
    </w:p>
    <w:p w14:paraId="3524AC8A" w14:textId="335BBAE5"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Si bien esta información corresponde a testimonios recopilados durante la visita técnica y no constituye prueba documental sobre la evolución histórica del sector, resulta consistente con la denominación de los inmuebles incorporados en el Acta de Entrega y constituye un elemento orientador para comprender la configuración física y funcional del área objeto de estudio.</w:t>
      </w:r>
    </w:p>
    <w:p w14:paraId="0F374FE5" w14:textId="611DBE8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Desde el punto de vista jurídico y registral, la principal particularidad consiste en que los inmuebles conservan identificación catastral y aparecen relacionados dentro de los bienes transferidos al Ministerio de Minas y Energía; no obstante, no se identificó una matrícula inmobiliaria individual que permita establecer su situación registral actual, circunstancia que impide determinar si los bienes mantienen autonomía jurídica o si fueron objeto de procesos de englobe, subdivisión, cesión urbanística, incorporación al espacio público u otras actuaciones administrativas derivadas de la transformación del antiguo complejo habitacional.</w:t>
      </w:r>
    </w:p>
    <w:p w14:paraId="2DF7B3C7" w14:textId="4D232AFE" w:rsidR="00965DCA" w:rsidRPr="00965DCA" w:rsidRDefault="00965DCA" w:rsidP="00965DCA">
      <w:pPr>
        <w:jc w:val="both"/>
        <w:rPr>
          <w:rFonts w:ascii="Arial" w:hAnsi="Arial" w:cs="Arial"/>
          <w:sz w:val="24"/>
          <w:szCs w:val="24"/>
        </w:rPr>
      </w:pPr>
      <w:r w:rsidRPr="00965DCA">
        <w:rPr>
          <w:rFonts w:ascii="Arial" w:eastAsia="Arial" w:hAnsi="Arial" w:cs="Arial"/>
          <w:b/>
          <w:bCs/>
          <w:sz w:val="24"/>
          <w:szCs w:val="24"/>
          <w:u w:val="single"/>
        </w:rPr>
        <w:t>Ruta de Saneamiento:</w:t>
      </w:r>
      <w:r w:rsidRPr="00965DCA">
        <w:rPr>
          <w:rFonts w:ascii="Arial" w:eastAsia="Arial" w:hAnsi="Arial" w:cs="Arial"/>
          <w:sz w:val="24"/>
          <w:szCs w:val="24"/>
        </w:rPr>
        <w:t xml:space="preserve"> Con el fin de establecer la situación jurídica definitiva de estos inmuebles, se recomienda adelantar las siguientes actuaciones:</w:t>
      </w:r>
    </w:p>
    <w:p w14:paraId="12B8AB0B" w14:textId="77777777" w:rsidR="00965DCA" w:rsidRPr="00965DCA" w:rsidRDefault="00965DCA" w:rsidP="00965DCA">
      <w:pPr>
        <w:pStyle w:val="Prrafodelista"/>
        <w:numPr>
          <w:ilvl w:val="0"/>
          <w:numId w:val="1"/>
        </w:numPr>
        <w:spacing w:after="200" w:line="276" w:lineRule="auto"/>
        <w:jc w:val="both"/>
        <w:rPr>
          <w:sz w:val="24"/>
          <w:szCs w:val="24"/>
        </w:rPr>
      </w:pPr>
      <w:r w:rsidRPr="00965DCA">
        <w:rPr>
          <w:sz w:val="24"/>
          <w:szCs w:val="24"/>
        </w:rPr>
        <w:t>Reconstruir la evolución histórica del antiguo Barrio Santiago Pérez mediante la revisión de los antecedentes del IFI, planos urbanísticos, actas de entrega y demás documentación disponible.</w:t>
      </w:r>
    </w:p>
    <w:p w14:paraId="51867EFD" w14:textId="77777777" w:rsidR="00965DCA" w:rsidRPr="00965DCA" w:rsidRDefault="00965DCA" w:rsidP="00965DCA">
      <w:pPr>
        <w:pStyle w:val="Prrafodelista"/>
        <w:numPr>
          <w:ilvl w:val="0"/>
          <w:numId w:val="1"/>
        </w:numPr>
        <w:spacing w:after="200" w:line="276" w:lineRule="auto"/>
        <w:jc w:val="both"/>
        <w:rPr>
          <w:sz w:val="24"/>
          <w:szCs w:val="24"/>
        </w:rPr>
      </w:pPr>
      <w:r w:rsidRPr="00965DCA">
        <w:rPr>
          <w:sz w:val="24"/>
          <w:szCs w:val="24"/>
        </w:rPr>
        <w:t>Verificar ante el municipio de Zipaquirá la existencia de licencias urbanísticas, procesos de legalización, actos de cesión, incorporación al espacio público o cualquier actuación administrativa relacionada con la transformación del antiguo barrio.</w:t>
      </w:r>
    </w:p>
    <w:p w14:paraId="2FC2A061" w14:textId="77777777" w:rsidR="00965DCA" w:rsidRPr="00965DCA" w:rsidRDefault="00965DCA" w:rsidP="00965DCA">
      <w:pPr>
        <w:pStyle w:val="Prrafodelista"/>
        <w:numPr>
          <w:ilvl w:val="0"/>
          <w:numId w:val="1"/>
        </w:numPr>
        <w:spacing w:after="200" w:line="276" w:lineRule="auto"/>
        <w:jc w:val="both"/>
        <w:rPr>
          <w:sz w:val="24"/>
          <w:szCs w:val="24"/>
        </w:rPr>
      </w:pPr>
      <w:r w:rsidRPr="00965DCA">
        <w:rPr>
          <w:sz w:val="24"/>
          <w:szCs w:val="24"/>
        </w:rPr>
        <w:t>Analizar la evolución catastral del sector mediante la comparación de la información R1, R2 y la cartografía histórica y vigente del IGAC, con el fin de identificar modificaciones en la configuración predial.</w:t>
      </w:r>
    </w:p>
    <w:p w14:paraId="588F755D" w14:textId="77777777" w:rsidR="00965DCA" w:rsidRPr="00965DCA" w:rsidRDefault="00965DCA" w:rsidP="00965DCA">
      <w:pPr>
        <w:pStyle w:val="Prrafodelista"/>
        <w:numPr>
          <w:ilvl w:val="0"/>
          <w:numId w:val="1"/>
        </w:numPr>
        <w:spacing w:after="200" w:line="276" w:lineRule="auto"/>
        <w:jc w:val="both"/>
        <w:rPr>
          <w:sz w:val="24"/>
          <w:szCs w:val="24"/>
        </w:rPr>
      </w:pPr>
      <w:r w:rsidRPr="00965DCA">
        <w:rPr>
          <w:sz w:val="24"/>
          <w:szCs w:val="24"/>
        </w:rPr>
        <w:t>Establecer si los inmuebles hacen parte de un folio de matrícula inmobiliaria matriz o si fueron absorbidos por otros predios con matrícula independiente.</w:t>
      </w:r>
    </w:p>
    <w:p w14:paraId="2DDE8996" w14:textId="7EDFFE86" w:rsidR="00965DCA" w:rsidRPr="00965DCA" w:rsidRDefault="00965DCA" w:rsidP="00965DCA">
      <w:pPr>
        <w:pStyle w:val="Prrafodelista"/>
        <w:numPr>
          <w:ilvl w:val="0"/>
          <w:numId w:val="1"/>
        </w:numPr>
        <w:spacing w:after="200" w:line="276" w:lineRule="auto"/>
        <w:jc w:val="both"/>
        <w:rPr>
          <w:sz w:val="24"/>
          <w:szCs w:val="24"/>
        </w:rPr>
      </w:pPr>
      <w:r w:rsidRPr="00965DCA">
        <w:rPr>
          <w:sz w:val="24"/>
          <w:szCs w:val="24"/>
        </w:rPr>
        <w:lastRenderedPageBreak/>
        <w:t>Verificar la situación de ocupación actual de cada inmueble y determinar la existencia de posibles procesos de ocupación, cesión o administración por parte de otras entidades públicas.</w:t>
      </w:r>
    </w:p>
    <w:p w14:paraId="4D5115E2" w14:textId="77777777" w:rsidR="00965DCA" w:rsidRPr="00965DCA" w:rsidRDefault="00965DCA" w:rsidP="00965DCA">
      <w:pPr>
        <w:jc w:val="both"/>
        <w:rPr>
          <w:rFonts w:ascii="Arial" w:hAnsi="Arial" w:cs="Arial"/>
          <w:sz w:val="24"/>
          <w:szCs w:val="24"/>
        </w:rPr>
      </w:pPr>
      <w:r w:rsidRPr="00965DCA">
        <w:rPr>
          <w:rFonts w:ascii="Arial" w:eastAsia="Arial" w:hAnsi="Arial" w:cs="Arial"/>
          <w:b/>
          <w:bCs/>
          <w:sz w:val="24"/>
          <w:szCs w:val="24"/>
        </w:rPr>
        <w:t xml:space="preserve">Saneamiento de la Tradición: </w:t>
      </w:r>
    </w:p>
    <w:p w14:paraId="28F92AA5" w14:textId="5BB23751"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Las evidencias recopiladas permiten concluir que la dificultad principal no radica en la inexistencia de antecedentes documentales de los bienes, sino en la falta de correspondencia entre la información catastral, la realidad física y la información registral actualmente disponible.</w:t>
      </w:r>
    </w:p>
    <w:p w14:paraId="7CF47D1D" w14:textId="72344E71"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En consecuencia, el proceso de saneamiento deberá orientarse a reconstruir la evolución jurídica y urbanística del antiguo Barrio Santiago Pérez, estableciendo la trazabilidad de cada uno de los inmuebles desde su incorporación al patrimonio del IFI hasta su estado actual. Este análisis permitirá definir si los bienes conservan su naturaleza como bienes fiscales transferidos al Ministerio de Minas y Energía o si, como resultado de actuaciones urbanísticas o administrativas posteriores, modificaron su condición jurídica.</w:t>
      </w:r>
    </w:p>
    <w:p w14:paraId="64C4EA63" w14:textId="102A820D" w:rsidR="00965DCA" w:rsidRDefault="00965DCA" w:rsidP="00965DCA">
      <w:pPr>
        <w:jc w:val="both"/>
        <w:rPr>
          <w:rFonts w:ascii="Arial" w:hAnsi="Arial" w:cs="Arial"/>
          <w:sz w:val="24"/>
          <w:szCs w:val="24"/>
        </w:rPr>
      </w:pPr>
      <w:r w:rsidRPr="00965DCA">
        <w:rPr>
          <w:rFonts w:ascii="Arial" w:eastAsia="Arial" w:hAnsi="Arial" w:cs="Arial"/>
          <w:sz w:val="24"/>
          <w:szCs w:val="24"/>
        </w:rPr>
        <w:t>Los resultados de dicha reconstrucción histórica constituirán el fundamento para determinar las actuaciones registrales, administrativas o judiciales que resulten procedentes para garantizar la adecuada protección y administración del patrimonio inmobiliario del Ministerio.</w:t>
      </w:r>
    </w:p>
    <w:p w14:paraId="2BC408F4" w14:textId="77777777" w:rsidR="00965DCA" w:rsidRPr="00965DCA" w:rsidRDefault="00965DCA" w:rsidP="00965DCA">
      <w:pPr>
        <w:jc w:val="both"/>
        <w:rPr>
          <w:rFonts w:ascii="Arial" w:hAnsi="Arial" w:cs="Arial"/>
          <w:sz w:val="24"/>
          <w:szCs w:val="24"/>
        </w:rPr>
      </w:pPr>
    </w:p>
    <w:p w14:paraId="7160B3AD" w14:textId="77777777" w:rsidR="00965DCA" w:rsidRPr="00965DCA" w:rsidRDefault="00965DCA" w:rsidP="00965DCA">
      <w:pPr>
        <w:pStyle w:val="Prrafodelista"/>
        <w:numPr>
          <w:ilvl w:val="0"/>
          <w:numId w:val="4"/>
        </w:numPr>
        <w:spacing w:after="200" w:line="276" w:lineRule="auto"/>
        <w:jc w:val="both"/>
        <w:rPr>
          <w:b/>
          <w:bCs/>
          <w:sz w:val="24"/>
          <w:szCs w:val="24"/>
        </w:rPr>
      </w:pPr>
      <w:r w:rsidRPr="00965DCA">
        <w:rPr>
          <w:b/>
          <w:bCs/>
          <w:sz w:val="24"/>
          <w:szCs w:val="24"/>
        </w:rPr>
        <w:t>REQUISITO TRANSVERSAL DE SANEAMIENTO FINANCIERO: OBLIGACIÓN TRIBUTARIA DEL IMPUESTO PREDIAL</w:t>
      </w:r>
    </w:p>
    <w:p w14:paraId="25D9DA47" w14:textId="77777777" w:rsidR="00965DCA" w:rsidRPr="00965DCA" w:rsidRDefault="00965DCA" w:rsidP="00965DCA">
      <w:pPr>
        <w:ind w:left="1080" w:hanging="720"/>
        <w:jc w:val="both"/>
        <w:rPr>
          <w:rFonts w:ascii="Arial" w:hAnsi="Arial" w:cs="Arial"/>
          <w:b/>
          <w:bCs/>
          <w:sz w:val="24"/>
          <w:szCs w:val="24"/>
        </w:rPr>
      </w:pPr>
    </w:p>
    <w:p w14:paraId="1F3A5991" w14:textId="1A9841C6"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Independientemente de la alternativa jurídica o administrativa que se seleccione (Rutas 1 a 3), es condición obligatoria e indispensable que los bienes inmuebles objeto de saneamiento se encuentren a paz y salvo por concepto de impuesto predial unificado.</w:t>
      </w:r>
    </w:p>
    <w:p w14:paraId="1C8ACBFF"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 xml:space="preserve">De conformidad con la Ley 1579 de 2012 (Estatuto de Registro de Instrumentos Públicos), la Oficina de Registro de Instrumentos Públicos (ORIP) exige de manera vinculante la presentación </w:t>
      </w:r>
      <w:bookmarkStart w:id="1" w:name="_Int_d7vGJWUd"/>
      <w:proofErr w:type="gramStart"/>
      <w:r w:rsidRPr="00965DCA">
        <w:rPr>
          <w:rFonts w:ascii="Arial" w:eastAsia="Arial" w:hAnsi="Arial" w:cs="Arial"/>
          <w:sz w:val="24"/>
          <w:szCs w:val="24"/>
        </w:rPr>
        <w:t>del paz</w:t>
      </w:r>
      <w:bookmarkEnd w:id="1"/>
      <w:proofErr w:type="gramEnd"/>
      <w:r w:rsidRPr="00965DCA">
        <w:rPr>
          <w:rFonts w:ascii="Arial" w:eastAsia="Arial" w:hAnsi="Arial" w:cs="Arial"/>
          <w:sz w:val="24"/>
          <w:szCs w:val="24"/>
        </w:rPr>
        <w:t xml:space="preserve"> y salvo físico y vigente —o la validación de su exoneración— como requisito previo para cualquier actuación registral, ya sea inscripción, apertura, aclaración o actualización de folios de matrícula inmobiliaria. La ausencia de este documento o la existencia de carteras pendientes generará de forma automática una nota devolutiva, lo </w:t>
      </w:r>
      <w:r w:rsidRPr="00965DCA">
        <w:rPr>
          <w:rFonts w:ascii="Arial" w:eastAsia="Arial" w:hAnsi="Arial" w:cs="Arial"/>
          <w:sz w:val="24"/>
          <w:szCs w:val="24"/>
        </w:rPr>
        <w:lastRenderedPageBreak/>
        <w:t>que paralizaría el trámite y haría ineficaces las actuaciones administrativas adelantadas. Por lo tanto, una vez definida la ruta legal y la proyección cronológica de su registro, se deberá gestionar con carácter prioritario el pago del tributo, su prescripción o el acto administrativo de exención.</w:t>
      </w:r>
    </w:p>
    <w:p w14:paraId="7FAB7B49" w14:textId="5E200732"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Con el propósito de dimensionar el impacto financiero de este requisito, a continuación, se detalla el estado actual de la cartera por impuesto predial para cada uno de los predios:</w:t>
      </w:r>
    </w:p>
    <w:p w14:paraId="1D8843EC" w14:textId="77777777" w:rsidR="00D123F8" w:rsidRDefault="00D123F8" w:rsidP="00965DCA">
      <w:pPr>
        <w:jc w:val="both"/>
        <w:rPr>
          <w:rFonts w:ascii="Arial" w:hAnsi="Arial" w:cs="Arial"/>
          <w:sz w:val="24"/>
          <w:szCs w:val="24"/>
        </w:rPr>
        <w:sectPr w:rsidR="00D123F8" w:rsidSect="0023586F">
          <w:headerReference w:type="default" r:id="rId10"/>
          <w:footerReference w:type="default" r:id="rId11"/>
          <w:pgSz w:w="12240" w:h="15840" w:code="1"/>
          <w:pgMar w:top="1991" w:right="1418" w:bottom="1588" w:left="1418" w:header="573" w:footer="1531" w:gutter="0"/>
          <w:cols w:space="720"/>
          <w:formProt w:val="0"/>
          <w:docGrid w:linePitch="360" w:charSpace="8192"/>
        </w:sectPr>
      </w:pPr>
    </w:p>
    <w:p w14:paraId="0FA28330" w14:textId="6DD6AA4E" w:rsidR="00D123F8" w:rsidRDefault="00D123F8" w:rsidP="00D123F8">
      <w:pPr>
        <w:ind w:left="-1134"/>
        <w:jc w:val="both"/>
        <w:rPr>
          <w:rFonts w:ascii="Arial" w:hAnsi="Arial" w:cs="Arial"/>
          <w:sz w:val="24"/>
          <w:szCs w:val="24"/>
        </w:rPr>
        <w:sectPr w:rsidR="00D123F8" w:rsidSect="00D123F8">
          <w:pgSz w:w="15840" w:h="12240" w:orient="landscape" w:code="1"/>
          <w:pgMar w:top="1418" w:right="1990" w:bottom="1418" w:left="1588" w:header="573" w:footer="1531" w:gutter="0"/>
          <w:cols w:space="720"/>
          <w:formProt w:val="0"/>
          <w:docGrid w:linePitch="360" w:charSpace="8192"/>
        </w:sectPr>
      </w:pPr>
      <w:r w:rsidRPr="00D123F8">
        <w:lastRenderedPageBreak/>
        <w:drawing>
          <wp:inline distT="0" distB="0" distL="0" distR="0" wp14:anchorId="3A9FF1F5" wp14:editId="39B5C0D0">
            <wp:extent cx="9552940" cy="4305300"/>
            <wp:effectExtent l="0" t="0" r="0" b="0"/>
            <wp:docPr id="2341999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84930" cy="4319717"/>
                    </a:xfrm>
                    <a:prstGeom prst="rect">
                      <a:avLst/>
                    </a:prstGeom>
                    <a:noFill/>
                    <a:ln>
                      <a:noFill/>
                    </a:ln>
                  </pic:spPr>
                </pic:pic>
              </a:graphicData>
            </a:graphic>
          </wp:inline>
        </w:drawing>
      </w:r>
    </w:p>
    <w:p w14:paraId="70A59814" w14:textId="77777777" w:rsidR="00965DCA" w:rsidRPr="00965DCA" w:rsidRDefault="00965DCA" w:rsidP="00965DCA">
      <w:pPr>
        <w:jc w:val="both"/>
        <w:rPr>
          <w:rFonts w:ascii="Arial" w:hAnsi="Arial" w:cs="Arial"/>
          <w:sz w:val="24"/>
          <w:szCs w:val="24"/>
        </w:rPr>
      </w:pPr>
    </w:p>
    <w:p w14:paraId="66C63939" w14:textId="77777777" w:rsidR="00965DCA" w:rsidRDefault="00965DCA" w:rsidP="00965DCA">
      <w:pPr>
        <w:jc w:val="both"/>
        <w:rPr>
          <w:rFonts w:ascii="Arial" w:eastAsia="Arial" w:hAnsi="Arial" w:cs="Arial"/>
          <w:sz w:val="24"/>
          <w:szCs w:val="24"/>
        </w:rPr>
      </w:pPr>
      <w:r w:rsidRPr="00965DCA">
        <w:rPr>
          <w:rFonts w:ascii="Arial" w:eastAsia="Arial" w:hAnsi="Arial" w:cs="Arial"/>
          <w:sz w:val="24"/>
          <w:szCs w:val="24"/>
        </w:rPr>
        <w:t>De acuerdo con lo anterior, para la depuración y saneamiento definitivo de esta cartera, el Ministerio de Minas y Energía podría adoptar una estrategia jurídica articulada en tres ejes de acción:</w:t>
      </w:r>
    </w:p>
    <w:p w14:paraId="3B7E12C9" w14:textId="77777777" w:rsidR="00965DCA" w:rsidRPr="00965DCA" w:rsidRDefault="00965DCA" w:rsidP="00965DCA">
      <w:pPr>
        <w:jc w:val="both"/>
        <w:rPr>
          <w:rFonts w:ascii="Arial" w:hAnsi="Arial" w:cs="Arial"/>
          <w:color w:val="8496B0" w:themeColor="text2" w:themeTint="99"/>
          <w:sz w:val="24"/>
          <w:szCs w:val="24"/>
        </w:rPr>
      </w:pPr>
    </w:p>
    <w:p w14:paraId="01E92E65" w14:textId="6EA386D4" w:rsidR="00965DCA" w:rsidRPr="00965DCA" w:rsidRDefault="00965DCA" w:rsidP="00965DCA">
      <w:pPr>
        <w:jc w:val="both"/>
        <w:rPr>
          <w:rFonts w:ascii="Arial" w:hAnsi="Arial" w:cs="Arial"/>
          <w:b/>
          <w:bCs/>
          <w:sz w:val="24"/>
          <w:szCs w:val="24"/>
        </w:rPr>
      </w:pPr>
      <w:r w:rsidRPr="00965DCA">
        <w:rPr>
          <w:rFonts w:ascii="Arial" w:eastAsia="Arial" w:hAnsi="Arial" w:cs="Arial"/>
          <w:b/>
          <w:bCs/>
          <w:sz w:val="24"/>
          <w:szCs w:val="24"/>
        </w:rPr>
        <w:t>1. Estrategias de Articulación y Negociación con las Entidades Territoriales.</w:t>
      </w:r>
    </w:p>
    <w:p w14:paraId="69A57BD5"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 xml:space="preserve">Como mecanismo para resolver los cobros por concepto de impuesto predial generados desde el año 2008 (fecha de las actas de entrega del IFI), el Ministerio podría adelantar mesas de trabajo directas con las administraciones de Zipaquirá y Nemocón para tramitar una posible exención o condonación total de los gravámenes vigentes. Esta gestión se fundamenta en el principio de colaboración armónica y en la facultad de los Concejos Municipales (artículo 313, numeral 4 de la Constitución Política y artículo 32 de la Ley 136 de 1994) podrán otorgar exenciones tributarias </w:t>
      </w:r>
      <w:r w:rsidRPr="00965DCA">
        <w:rPr>
          <w:rFonts w:ascii="Arial" w:eastAsia="Arial" w:hAnsi="Arial" w:cs="Arial"/>
          <w:b/>
          <w:bCs/>
          <w:sz w:val="24"/>
          <w:szCs w:val="24"/>
        </w:rPr>
        <w:t>por motivos de utilidad pública e interés social</w:t>
      </w:r>
      <w:r w:rsidRPr="00965DCA">
        <w:rPr>
          <w:rFonts w:ascii="Arial" w:eastAsia="Arial" w:hAnsi="Arial" w:cs="Arial"/>
          <w:sz w:val="24"/>
          <w:szCs w:val="24"/>
        </w:rPr>
        <w:t>, toda vez que el saneamiento de estos pasivos destraba la regularización de activos estratégicos de la Nación.</w:t>
      </w:r>
    </w:p>
    <w:p w14:paraId="0C8C7B7E" w14:textId="77777777" w:rsidR="00965DCA" w:rsidRPr="00965DCA" w:rsidRDefault="00965DCA" w:rsidP="00965DCA">
      <w:pPr>
        <w:jc w:val="both"/>
        <w:rPr>
          <w:rFonts w:ascii="Arial" w:hAnsi="Arial" w:cs="Arial"/>
          <w:b/>
          <w:bCs/>
          <w:sz w:val="24"/>
          <w:szCs w:val="24"/>
        </w:rPr>
      </w:pPr>
    </w:p>
    <w:p w14:paraId="046A447A" w14:textId="77777777" w:rsidR="00965DCA" w:rsidRPr="00965DCA" w:rsidRDefault="00965DCA" w:rsidP="00965DCA">
      <w:pPr>
        <w:jc w:val="both"/>
        <w:rPr>
          <w:rFonts w:ascii="Arial" w:hAnsi="Arial" w:cs="Arial"/>
          <w:b/>
          <w:bCs/>
          <w:color w:val="8496B0" w:themeColor="text2" w:themeTint="99"/>
          <w:sz w:val="24"/>
          <w:szCs w:val="24"/>
        </w:rPr>
      </w:pPr>
      <w:r w:rsidRPr="00965DCA">
        <w:rPr>
          <w:rFonts w:ascii="Arial" w:eastAsia="Arial" w:hAnsi="Arial" w:cs="Arial"/>
          <w:b/>
          <w:bCs/>
          <w:sz w:val="24"/>
          <w:szCs w:val="24"/>
        </w:rPr>
        <w:t>2. Solicitud de Prescripción de la Acción de Cobro (Vigencias anteriores a 2022) y pago de los impuestos generados entre 2022 y 2026.</w:t>
      </w:r>
    </w:p>
    <w:p w14:paraId="383AA0CC"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De conformidad con lo dispuesto en el artículo 817 del Estatuto Tributario, el Ministerio tiene la facultad de solicitar formalmente ante las secretarías de hacienda municipales la declaratoria de prescripción de la acción de cobro del impuesto predial respecto de los inmuebles remanentes de la liquidación del Instituto de Fomento Industrial (IFI). Esta medida aplica para las vigencias fiscales anteriores al año 2022, toda vez que ha transcurrido en exceso el término perentorio de cinco (5) años desde que se hicieron legalmente exigibles, aliviando sustancialmente el pasivo financiero estimado.</w:t>
      </w:r>
    </w:p>
    <w:p w14:paraId="386E4D0E" w14:textId="77777777" w:rsidR="00965DCA" w:rsidRDefault="00965DCA" w:rsidP="00965DCA">
      <w:pPr>
        <w:jc w:val="both"/>
        <w:rPr>
          <w:rFonts w:ascii="Arial" w:eastAsia="Arial" w:hAnsi="Arial" w:cs="Arial"/>
          <w:sz w:val="24"/>
          <w:szCs w:val="24"/>
        </w:rPr>
      </w:pPr>
      <w:r w:rsidRPr="00965DCA">
        <w:rPr>
          <w:rFonts w:ascii="Arial" w:eastAsia="Arial" w:hAnsi="Arial" w:cs="Arial"/>
          <w:sz w:val="24"/>
          <w:szCs w:val="24"/>
        </w:rPr>
        <w:t>Por lo demás, se deberán apropiar los recursos y realizar los pagos correspondientes a los impuestos generados entre el año 2022 y 2026, si en esta vigencia se espera adelantar el trámite de legalización de la titularidad de los bienes, pues de ser en otra vigencia, se deberán realizar los pagos que correspondan hasta la fecha en que espera realizarse el registro ante la ORIP.</w:t>
      </w:r>
    </w:p>
    <w:p w14:paraId="2E8AA3E4" w14:textId="77777777" w:rsidR="00965DCA" w:rsidRPr="00965DCA" w:rsidRDefault="00965DCA" w:rsidP="00965DCA">
      <w:pPr>
        <w:jc w:val="both"/>
        <w:rPr>
          <w:rFonts w:ascii="Arial" w:hAnsi="Arial" w:cs="Arial"/>
          <w:sz w:val="24"/>
          <w:szCs w:val="24"/>
        </w:rPr>
      </w:pPr>
    </w:p>
    <w:p w14:paraId="5825F2F5" w14:textId="77777777" w:rsidR="00965DCA" w:rsidRPr="00965DCA" w:rsidRDefault="00965DCA" w:rsidP="00965DCA">
      <w:pPr>
        <w:jc w:val="both"/>
        <w:rPr>
          <w:rFonts w:ascii="Arial" w:hAnsi="Arial" w:cs="Arial"/>
          <w:b/>
          <w:bCs/>
          <w:color w:val="8496B0" w:themeColor="text2" w:themeTint="99"/>
          <w:sz w:val="24"/>
          <w:szCs w:val="24"/>
        </w:rPr>
      </w:pPr>
      <w:r w:rsidRPr="00965DCA">
        <w:rPr>
          <w:rFonts w:ascii="Arial" w:eastAsia="Arial" w:hAnsi="Arial" w:cs="Arial"/>
          <w:b/>
          <w:bCs/>
          <w:sz w:val="24"/>
          <w:szCs w:val="24"/>
        </w:rPr>
        <w:lastRenderedPageBreak/>
        <w:t>3. Plan de Contingencia para Predios No Incorporados Catastralmente.</w:t>
      </w:r>
    </w:p>
    <w:p w14:paraId="38DB0D5A" w14:textId="3EEB89D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Los inmuebles que no se encuentran incorporados en la base de datos alfanumérica y geográfica del Gestor Catastral competente, imposibilitan la liquidación del impuesto predial. Con el fin de viabilizar transitoriamente su registro ante la ORIP, se gestionó la emisión del Certificado de No Inscripción Catastral y se requirió a las Secretarías de Hacienda la expedición de un documento que certifique la ausencia de deuda bajo los radicados 2-2026-026484 y 2-2026-026480.</w:t>
      </w:r>
    </w:p>
    <w:p w14:paraId="08D31FC6" w14:textId="17BE2484" w:rsidR="00965DCA" w:rsidRDefault="00965DCA" w:rsidP="00965DCA">
      <w:pPr>
        <w:jc w:val="both"/>
        <w:rPr>
          <w:rFonts w:ascii="Arial" w:hAnsi="Arial" w:cs="Arial"/>
          <w:sz w:val="24"/>
          <w:szCs w:val="24"/>
        </w:rPr>
      </w:pPr>
      <w:r w:rsidRPr="00965DCA">
        <w:rPr>
          <w:rFonts w:ascii="Arial" w:eastAsia="Arial" w:hAnsi="Arial" w:cs="Arial"/>
          <w:sz w:val="24"/>
          <w:szCs w:val="24"/>
        </w:rPr>
        <w:t>No obstante, ante el riesgo latente de que la ORIP genere notas devolutivas por la falta de incorporación física de los polígonos, se establece que, de ser necesario, se deberán adelantar de manera prioritaria las actuaciones de actualización y validación catastral, ajustando los cronogramas según las respuestas de la autoridad competente.</w:t>
      </w:r>
    </w:p>
    <w:p w14:paraId="2CD5D4EC" w14:textId="77777777" w:rsidR="00965DCA" w:rsidRPr="00965DCA" w:rsidRDefault="00965DCA" w:rsidP="00965DCA">
      <w:pPr>
        <w:jc w:val="both"/>
        <w:rPr>
          <w:rFonts w:ascii="Arial" w:hAnsi="Arial" w:cs="Arial"/>
          <w:sz w:val="24"/>
          <w:szCs w:val="24"/>
        </w:rPr>
      </w:pPr>
    </w:p>
    <w:p w14:paraId="2676ADCC" w14:textId="77777777" w:rsidR="00965DCA" w:rsidRPr="00965DCA" w:rsidRDefault="00965DCA" w:rsidP="00965DCA">
      <w:pPr>
        <w:pStyle w:val="Prrafodelista"/>
        <w:numPr>
          <w:ilvl w:val="0"/>
          <w:numId w:val="4"/>
        </w:numPr>
        <w:spacing w:after="200" w:line="276" w:lineRule="auto"/>
        <w:jc w:val="both"/>
        <w:rPr>
          <w:b/>
          <w:bCs/>
          <w:sz w:val="24"/>
          <w:szCs w:val="24"/>
        </w:rPr>
      </w:pPr>
      <w:r w:rsidRPr="00965DCA">
        <w:rPr>
          <w:b/>
          <w:bCs/>
          <w:sz w:val="24"/>
          <w:szCs w:val="24"/>
        </w:rPr>
        <w:t>RECOMENDACIONES FINALES</w:t>
      </w:r>
    </w:p>
    <w:p w14:paraId="31F62DCC" w14:textId="77777777" w:rsidR="00965DCA" w:rsidRPr="00965DCA" w:rsidRDefault="00965DCA" w:rsidP="00965DCA">
      <w:pPr>
        <w:pStyle w:val="Prrafodelista"/>
        <w:spacing w:after="200" w:line="276" w:lineRule="auto"/>
        <w:jc w:val="both"/>
        <w:rPr>
          <w:sz w:val="24"/>
          <w:szCs w:val="24"/>
        </w:rPr>
      </w:pPr>
    </w:p>
    <w:p w14:paraId="4C47B7E9"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Con fundamento en el análisis jurídico, catastral y registral expuesto en los capítulos precedentes, y considerando los compromisos vinculantes derivados de la coyuntura ambiental y normativa actual, se estructuran las siguientes recomendaciones orientadas a materializar el saneamiento definitivo del inventario inmobiliario:</w:t>
      </w:r>
    </w:p>
    <w:p w14:paraId="76674673" w14:textId="77777777" w:rsidR="00965DCA" w:rsidRPr="00965DCA" w:rsidRDefault="00965DCA" w:rsidP="00965DCA">
      <w:pPr>
        <w:pStyle w:val="Ttulo3"/>
        <w:spacing w:after="200" w:line="276" w:lineRule="auto"/>
        <w:jc w:val="both"/>
        <w:rPr>
          <w:sz w:val="24"/>
          <w:szCs w:val="24"/>
        </w:rPr>
      </w:pPr>
      <w:r w:rsidRPr="00965DCA">
        <w:rPr>
          <w:sz w:val="24"/>
          <w:szCs w:val="24"/>
        </w:rPr>
        <w:t>1. Saneamiento Fiscal</w:t>
      </w:r>
    </w:p>
    <w:p w14:paraId="73069DB0" w14:textId="77777777"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Se recomienda coordinar con las secretarías de hacienda municipales correspondientes la depuración integral de los pasivos fiscales por concepto de impuesto predial unificado que aún gravan los inmuebles bajo la denominación histórica de "IFI - Concesión Salinas". Este saneamiento fiscal debe ejecutarse en previo al proceso registral, como requisito habilitante para una transferencia de dominio limpia y sin contingencias fiscales para las entidades receptoras.</w:t>
      </w:r>
    </w:p>
    <w:p w14:paraId="25BA5BD4" w14:textId="77777777" w:rsidR="00965DCA" w:rsidRPr="00965DCA" w:rsidRDefault="00965DCA" w:rsidP="00965DCA">
      <w:pPr>
        <w:pStyle w:val="Ttulo3"/>
        <w:spacing w:after="200" w:line="276" w:lineRule="auto"/>
        <w:jc w:val="both"/>
        <w:rPr>
          <w:sz w:val="24"/>
          <w:szCs w:val="24"/>
        </w:rPr>
      </w:pPr>
      <w:r w:rsidRPr="00965DCA">
        <w:rPr>
          <w:sz w:val="24"/>
          <w:szCs w:val="24"/>
        </w:rPr>
        <w:t xml:space="preserve">2. Ruta de Destinación Patrimonial </w:t>
      </w:r>
    </w:p>
    <w:p w14:paraId="2E91D332" w14:textId="22562F4A" w:rsidR="00965DCA" w:rsidRPr="00965DCA" w:rsidRDefault="00965DCA" w:rsidP="00965DCA">
      <w:pPr>
        <w:jc w:val="both"/>
        <w:rPr>
          <w:rFonts w:ascii="Arial" w:hAnsi="Arial" w:cs="Arial"/>
          <w:sz w:val="24"/>
          <w:szCs w:val="24"/>
        </w:rPr>
      </w:pPr>
      <w:r w:rsidRPr="00965DCA">
        <w:rPr>
          <w:rFonts w:ascii="Arial" w:eastAsia="Arial" w:hAnsi="Arial" w:cs="Arial"/>
          <w:sz w:val="24"/>
          <w:szCs w:val="24"/>
        </w:rPr>
        <w:t xml:space="preserve">Una vez culminadas de manera exitosa las actuaciones de saneamiento inmobiliario, aclaración de glosas y la consecuente inscripción de la legalización de la titularidad de los bienes fiscales ante la correspondiente Oficina de Registro de Instrumentos Públicos (ORIP) —independientemente de la vía que se haya determinado agotar—, se </w:t>
      </w:r>
      <w:r w:rsidRPr="00965DCA">
        <w:rPr>
          <w:rFonts w:ascii="Arial" w:eastAsia="Arial" w:hAnsi="Arial" w:cs="Arial"/>
          <w:sz w:val="24"/>
          <w:szCs w:val="24"/>
        </w:rPr>
        <w:lastRenderedPageBreak/>
        <w:t>recomienda la segmentación y transferencia del portafolio predial bajo los siguientes criterios:</w:t>
      </w:r>
    </w:p>
    <w:p w14:paraId="2B5FF15E" w14:textId="77777777" w:rsidR="00965DCA" w:rsidRPr="00965DCA" w:rsidRDefault="00965DCA" w:rsidP="00965DCA">
      <w:pPr>
        <w:pStyle w:val="Prrafodelista"/>
        <w:numPr>
          <w:ilvl w:val="0"/>
          <w:numId w:val="6"/>
        </w:numPr>
        <w:spacing w:after="200" w:line="276" w:lineRule="auto"/>
        <w:jc w:val="both"/>
        <w:rPr>
          <w:sz w:val="24"/>
          <w:szCs w:val="24"/>
        </w:rPr>
      </w:pPr>
      <w:r w:rsidRPr="00965DCA">
        <w:rPr>
          <w:b/>
          <w:bCs/>
          <w:sz w:val="24"/>
          <w:szCs w:val="24"/>
        </w:rPr>
        <w:t>Transferencia a favor de la Corporación Autónoma Regional de Cundinamarca (CAR):</w:t>
      </w:r>
      <w:r w:rsidRPr="00965DCA">
        <w:rPr>
          <w:sz w:val="24"/>
          <w:szCs w:val="24"/>
        </w:rPr>
        <w:t xml:space="preserve"> En atención a las obligaciones jurídicas y de coordinación armónica pactadas en el Convenio Interadministrativo N° CAR-CONV-2741-2025, se debe tramitar de forma prioritaria la transferencia de los predios operacionales de alta importancia ecológica denominados </w:t>
      </w:r>
      <w:r w:rsidRPr="00965DCA">
        <w:rPr>
          <w:b/>
          <w:bCs/>
          <w:sz w:val="24"/>
          <w:szCs w:val="24"/>
        </w:rPr>
        <w:t>"Lote Pantano Redondo" (FMI 176-34970)</w:t>
      </w:r>
      <w:r w:rsidRPr="00965DCA">
        <w:rPr>
          <w:sz w:val="24"/>
          <w:szCs w:val="24"/>
        </w:rPr>
        <w:t xml:space="preserve"> y </w:t>
      </w:r>
      <w:r w:rsidRPr="00965DCA">
        <w:rPr>
          <w:b/>
          <w:bCs/>
          <w:sz w:val="24"/>
          <w:szCs w:val="24"/>
        </w:rPr>
        <w:t>"Lote La Calera - El Cedro" (FMI 176-10342)</w:t>
      </w:r>
      <w:r w:rsidRPr="00965DCA">
        <w:rPr>
          <w:sz w:val="24"/>
          <w:szCs w:val="24"/>
        </w:rPr>
        <w:t>. Lo anterior, con el fin de consolidar la tenencia provisional actual en una titularidad definitiva que garantice los proyectos de restauración ecológica y regulación hídrica en el Páramo de Guerrero.</w:t>
      </w:r>
    </w:p>
    <w:p w14:paraId="1ABB7293" w14:textId="77777777" w:rsidR="00965DCA" w:rsidRPr="00965DCA" w:rsidRDefault="00965DCA" w:rsidP="00965DCA">
      <w:pPr>
        <w:pStyle w:val="Prrafodelista"/>
        <w:numPr>
          <w:ilvl w:val="0"/>
          <w:numId w:val="6"/>
        </w:numPr>
        <w:spacing w:after="200" w:line="276" w:lineRule="auto"/>
        <w:jc w:val="both"/>
        <w:rPr>
          <w:sz w:val="24"/>
          <w:szCs w:val="24"/>
        </w:rPr>
      </w:pPr>
      <w:r w:rsidRPr="00965DCA">
        <w:rPr>
          <w:b/>
          <w:bCs/>
          <w:sz w:val="24"/>
          <w:szCs w:val="24"/>
        </w:rPr>
        <w:t>Transferencia a favor de la Agencia Nacional de Minería (ANM):</w:t>
      </w:r>
      <w:r w:rsidRPr="00965DCA">
        <w:rPr>
          <w:sz w:val="24"/>
          <w:szCs w:val="24"/>
        </w:rPr>
        <w:t xml:space="preserve"> Para los veintiocho (28) predios restantes transferidos originalmente por el extinto Instituto de Fomento Industrial (IFI), se recomienda gestionar su transferencia del Ministerio de Minas y Energía hacia la ANM. Esta disposición patrimonial se fundamenta de manera estricta en el </w:t>
      </w:r>
      <w:r w:rsidRPr="00965DCA">
        <w:rPr>
          <w:b/>
          <w:bCs/>
          <w:sz w:val="24"/>
          <w:szCs w:val="24"/>
        </w:rPr>
        <w:t>numeral 11 del artículo 4° del Decreto 4134 de 2011</w:t>
      </w:r>
      <w:r w:rsidRPr="00965DCA">
        <w:rPr>
          <w:sz w:val="24"/>
          <w:szCs w:val="24"/>
        </w:rPr>
        <w:t>, toda vez que la ANM es la entidad legalmente facultada para administrar y disponer de los bienes muebles e inmuebles que pasen al Estado con ocasión de la finalización o caducidad de los contratos de concesión minera e infraestructura salinera, habiendo tomado ya posesión física y directa de dichos centros operacionales.</w:t>
      </w:r>
    </w:p>
    <w:p w14:paraId="2427398F" w14:textId="77777777" w:rsidR="00965DCA" w:rsidRPr="00965DCA" w:rsidRDefault="00965DCA" w:rsidP="00965DCA">
      <w:pPr>
        <w:pStyle w:val="Prrafodelista"/>
        <w:numPr>
          <w:ilvl w:val="0"/>
          <w:numId w:val="6"/>
        </w:numPr>
        <w:spacing w:after="200" w:line="276" w:lineRule="auto"/>
        <w:jc w:val="both"/>
        <w:rPr>
          <w:color w:val="8496B0" w:themeColor="text2" w:themeTint="99"/>
          <w:sz w:val="24"/>
          <w:szCs w:val="24"/>
        </w:rPr>
      </w:pPr>
      <w:r w:rsidRPr="00965DCA">
        <w:rPr>
          <w:b/>
          <w:bCs/>
          <w:sz w:val="24"/>
          <w:szCs w:val="24"/>
        </w:rPr>
        <w:t xml:space="preserve">Posibilidad de Transferencia a favor de las entidades territoriales (Municipios de Zipaquirá o Nemocón), en caso de tratarse de bienes no operacionales:  </w:t>
      </w:r>
      <w:r w:rsidRPr="00965DCA">
        <w:rPr>
          <w:sz w:val="24"/>
          <w:szCs w:val="24"/>
        </w:rPr>
        <w:t>Como tercera alternativa, una vez culminado el proceso de legalización de la propiedad y se determine la viabilidad de su desafectación, se podrá vincular formalmente a la Agencia Nacional de Minería (ANM) para analizar de manera conjunta esta posibilidad. Dicho análisis técnico-minero tendrá como objeto dictaminar si los inmuebles, o alguno de ellos, no constituyen bienes operacionales y si no son necesarios para la infraestructura actual o futura de la actividad minera o salinera, permitiendo así evaluar su transferencia a título gratuito a favor del municipio de su jurisdicción (Zipaquirá o Nemocón).</w:t>
      </w:r>
    </w:p>
    <w:p w14:paraId="0FD7F9B8" w14:textId="77777777" w:rsidR="00965DCA" w:rsidRPr="00965DCA" w:rsidRDefault="00965DCA" w:rsidP="00965DCA">
      <w:pPr>
        <w:pStyle w:val="Prrafodelista"/>
        <w:spacing w:after="200" w:line="276" w:lineRule="auto"/>
        <w:jc w:val="both"/>
        <w:rPr>
          <w:color w:val="8496B0" w:themeColor="text2" w:themeTint="99"/>
          <w:sz w:val="24"/>
          <w:szCs w:val="24"/>
        </w:rPr>
      </w:pPr>
    </w:p>
    <w:p w14:paraId="6B93C85B" w14:textId="77777777" w:rsidR="00965DCA" w:rsidRPr="00965DCA" w:rsidRDefault="00965DCA" w:rsidP="00965DCA">
      <w:pPr>
        <w:pStyle w:val="Prrafodelista"/>
        <w:spacing w:after="200" w:line="276" w:lineRule="auto"/>
        <w:jc w:val="both"/>
        <w:rPr>
          <w:color w:val="8496B0" w:themeColor="text2" w:themeTint="99"/>
          <w:sz w:val="24"/>
          <w:szCs w:val="24"/>
        </w:rPr>
      </w:pPr>
      <w:r w:rsidRPr="00965DCA">
        <w:rPr>
          <w:sz w:val="24"/>
          <w:szCs w:val="24"/>
        </w:rPr>
        <w:t>Esta figura se fundamenta jurídicamente en el artículo 2.1.2.1.4.1 del Decreto 1077 de 2015 (que compiló las disposiciones de la Ley 708 de 2001), el cual faculta a las entidades públicas del orden nacional a transferir gratuitamente bienes inmuebles fiscales a otras entidades territoriales, siempre que estos se destinen a pro</w:t>
      </w:r>
      <w:r w:rsidRPr="00965DCA">
        <w:rPr>
          <w:sz w:val="24"/>
          <w:szCs w:val="24"/>
        </w:rPr>
        <w:lastRenderedPageBreak/>
        <w:t>gramas de desarrollo municipal, espacio público, proyectos de infraestructura social o planes de ordenamiento territorial (POT).</w:t>
      </w:r>
    </w:p>
    <w:p w14:paraId="1F7A33F6" w14:textId="77777777" w:rsidR="00965DCA" w:rsidRPr="00965DCA" w:rsidRDefault="00965DCA" w:rsidP="00965DCA">
      <w:pPr>
        <w:pStyle w:val="Prrafodelista"/>
        <w:spacing w:after="200" w:line="276" w:lineRule="auto"/>
        <w:jc w:val="both"/>
        <w:rPr>
          <w:color w:val="8496B0" w:themeColor="text2" w:themeTint="99"/>
          <w:sz w:val="24"/>
          <w:szCs w:val="24"/>
        </w:rPr>
      </w:pPr>
    </w:p>
    <w:p w14:paraId="28E09CDA" w14:textId="5F60DD48" w:rsidR="00965DCA" w:rsidRDefault="00965DCA" w:rsidP="00965DCA">
      <w:pPr>
        <w:pStyle w:val="Prrafodelista"/>
        <w:spacing w:after="200" w:line="276" w:lineRule="auto"/>
        <w:jc w:val="both"/>
        <w:rPr>
          <w:sz w:val="24"/>
          <w:szCs w:val="24"/>
        </w:rPr>
      </w:pPr>
      <w:r w:rsidRPr="00965DCA">
        <w:rPr>
          <w:sz w:val="24"/>
          <w:szCs w:val="24"/>
        </w:rPr>
        <w:t>Asimismo, esta entrega patrimonial se armoniza con el principio de coordinación concurrente consagrado en el artículo 288 de la Constitución Política, permitiendo que los activos que ya no tienen una vocación minera activa sirvan como instrumentos de compensación socioambiental y desarrollo local para los municipios que históricamente han albergado dicha infraestructura.</w:t>
      </w:r>
    </w:p>
    <w:p w14:paraId="41ACDC38" w14:textId="77777777" w:rsidR="00965DCA" w:rsidRPr="00965DCA" w:rsidRDefault="00965DCA" w:rsidP="00965DCA">
      <w:pPr>
        <w:pStyle w:val="Prrafodelista"/>
        <w:spacing w:after="200" w:line="276" w:lineRule="auto"/>
        <w:jc w:val="both"/>
        <w:rPr>
          <w:color w:val="8496B0" w:themeColor="text2" w:themeTint="99"/>
          <w:sz w:val="24"/>
          <w:szCs w:val="24"/>
        </w:rPr>
      </w:pPr>
    </w:p>
    <w:p w14:paraId="4BEE11A4" w14:textId="77777777" w:rsidR="00965DCA" w:rsidRPr="00965DCA" w:rsidRDefault="00965DCA" w:rsidP="00965DCA">
      <w:pPr>
        <w:pStyle w:val="Prrafodelista"/>
        <w:numPr>
          <w:ilvl w:val="0"/>
          <w:numId w:val="4"/>
        </w:numPr>
        <w:spacing w:after="200" w:line="276" w:lineRule="auto"/>
        <w:jc w:val="both"/>
        <w:rPr>
          <w:b/>
          <w:bCs/>
          <w:sz w:val="24"/>
          <w:szCs w:val="24"/>
        </w:rPr>
      </w:pPr>
      <w:r w:rsidRPr="00965DCA">
        <w:rPr>
          <w:b/>
          <w:bCs/>
          <w:sz w:val="24"/>
          <w:szCs w:val="24"/>
        </w:rPr>
        <w:t>CONCLUSIONES</w:t>
      </w:r>
    </w:p>
    <w:p w14:paraId="07278E22" w14:textId="77777777" w:rsidR="00965DCA" w:rsidRPr="00965DCA" w:rsidRDefault="00965DCA" w:rsidP="00965DCA">
      <w:pPr>
        <w:jc w:val="both"/>
        <w:rPr>
          <w:rFonts w:ascii="Arial" w:hAnsi="Arial" w:cs="Arial"/>
          <w:sz w:val="24"/>
          <w:szCs w:val="24"/>
        </w:rPr>
      </w:pPr>
    </w:p>
    <w:p w14:paraId="138461C1" w14:textId="77777777" w:rsidR="00965DCA" w:rsidRPr="00965DCA" w:rsidRDefault="00965DCA" w:rsidP="00965DCA">
      <w:pPr>
        <w:pStyle w:val="Prrafodelista"/>
        <w:numPr>
          <w:ilvl w:val="0"/>
          <w:numId w:val="5"/>
        </w:numPr>
        <w:spacing w:after="200" w:line="276" w:lineRule="auto"/>
        <w:jc w:val="both"/>
        <w:rPr>
          <w:sz w:val="24"/>
          <w:szCs w:val="24"/>
        </w:rPr>
      </w:pPr>
      <w:r w:rsidRPr="00965DCA">
        <w:rPr>
          <w:b/>
          <w:bCs/>
          <w:sz w:val="24"/>
          <w:szCs w:val="24"/>
        </w:rPr>
        <w:t>Idoneidad y vigencia de los títulos administrativos históricos:</w:t>
      </w:r>
      <w:r w:rsidRPr="00965DCA">
        <w:rPr>
          <w:sz w:val="24"/>
          <w:szCs w:val="24"/>
        </w:rPr>
        <w:t xml:space="preserve"> Las actas de entrega suscritas en el año 2008 constituyen títulos administrativos válidos e idóneos que materializan la voluntad expresa de reasignación patrimonial del Estado. Al ser actos administrativos en firme, su fuerza vinculante y legalidad no fenecen ni se extinguen por la falta de registro oportuno ante la Oficina de Registro de Instrumentos Públicos (ORIP), habilitando jurídicamente la activación de los mecanismos de regularización de la tradición.</w:t>
      </w:r>
    </w:p>
    <w:p w14:paraId="58A6F3D1" w14:textId="77777777" w:rsidR="00965DCA" w:rsidRPr="00965DCA" w:rsidRDefault="00965DCA" w:rsidP="00965DCA">
      <w:pPr>
        <w:jc w:val="both"/>
        <w:rPr>
          <w:rFonts w:ascii="Arial" w:hAnsi="Arial" w:cs="Arial"/>
          <w:b/>
          <w:bCs/>
          <w:sz w:val="24"/>
          <w:szCs w:val="24"/>
        </w:rPr>
      </w:pPr>
    </w:p>
    <w:p w14:paraId="17E47670" w14:textId="77777777" w:rsidR="00965DCA" w:rsidRPr="00965DCA" w:rsidRDefault="00965DCA" w:rsidP="00965DCA">
      <w:pPr>
        <w:pStyle w:val="Prrafodelista"/>
        <w:numPr>
          <w:ilvl w:val="0"/>
          <w:numId w:val="5"/>
        </w:numPr>
        <w:spacing w:after="200" w:line="276" w:lineRule="auto"/>
        <w:jc w:val="both"/>
        <w:rPr>
          <w:sz w:val="24"/>
          <w:szCs w:val="24"/>
        </w:rPr>
      </w:pPr>
      <w:r w:rsidRPr="00965DCA">
        <w:rPr>
          <w:b/>
          <w:bCs/>
          <w:sz w:val="24"/>
          <w:szCs w:val="24"/>
        </w:rPr>
        <w:t>Viabilidad de la Ruta Ordinaria de Registro (Ruta 1):</w:t>
      </w:r>
      <w:r w:rsidRPr="00965DCA">
        <w:rPr>
          <w:sz w:val="24"/>
          <w:szCs w:val="24"/>
        </w:rPr>
        <w:t xml:space="preserve"> Con fundamento en la idoneidad de los títulos del 2008, es jurídicamente viable proceder a través de la vía ordinaria, radicando directamente dichos instrumentos ante la ORIP competente para su calificación e inscripción en los folios de matrícula inmobiliaria correspondientes.</w:t>
      </w:r>
    </w:p>
    <w:p w14:paraId="32A0748A" w14:textId="77777777" w:rsidR="00965DCA" w:rsidRPr="00965DCA" w:rsidRDefault="00965DCA" w:rsidP="00965DCA">
      <w:pPr>
        <w:pStyle w:val="Prrafodelista"/>
        <w:spacing w:after="200" w:line="276" w:lineRule="auto"/>
        <w:jc w:val="both"/>
        <w:rPr>
          <w:sz w:val="24"/>
          <w:szCs w:val="24"/>
        </w:rPr>
      </w:pPr>
    </w:p>
    <w:p w14:paraId="50A3A168" w14:textId="77777777" w:rsidR="00965DCA" w:rsidRPr="00965DCA" w:rsidRDefault="00965DCA" w:rsidP="00965DCA">
      <w:pPr>
        <w:pStyle w:val="Prrafodelista"/>
        <w:numPr>
          <w:ilvl w:val="0"/>
          <w:numId w:val="5"/>
        </w:numPr>
        <w:spacing w:after="200" w:line="276" w:lineRule="auto"/>
        <w:jc w:val="both"/>
        <w:rPr>
          <w:sz w:val="24"/>
          <w:szCs w:val="24"/>
        </w:rPr>
      </w:pPr>
      <w:r w:rsidRPr="00965DCA">
        <w:rPr>
          <w:b/>
          <w:bCs/>
          <w:sz w:val="24"/>
          <w:szCs w:val="24"/>
        </w:rPr>
        <w:t>Rutas alternativas y subsidiarias de saneamiento (Rutas 2 y 3):</w:t>
      </w:r>
      <w:r w:rsidRPr="00965DCA">
        <w:rPr>
          <w:sz w:val="24"/>
          <w:szCs w:val="24"/>
        </w:rPr>
        <w:t xml:space="preserve"> En caso de presentarse glosas insubsanables, rechazo en la vía ordinaria o se determine la inviabilidad de su ejecución en términos de oportunidad procesal, el ordenamiento jurídico prevé los siguientes mecanismos supletorios para la ordenación de la propiedad pública:</w:t>
      </w:r>
    </w:p>
    <w:p w14:paraId="3073F35D" w14:textId="77777777" w:rsidR="00965DCA" w:rsidRPr="00965DCA" w:rsidRDefault="00965DCA" w:rsidP="00965DCA">
      <w:pPr>
        <w:pStyle w:val="Prrafodelista"/>
        <w:spacing w:after="200" w:line="276" w:lineRule="auto"/>
        <w:jc w:val="both"/>
        <w:rPr>
          <w:b/>
          <w:bCs/>
          <w:sz w:val="24"/>
          <w:szCs w:val="24"/>
        </w:rPr>
      </w:pPr>
    </w:p>
    <w:p w14:paraId="6B4C15CB" w14:textId="77777777" w:rsidR="00965DCA" w:rsidRPr="00965DCA" w:rsidRDefault="00965DCA" w:rsidP="00965DCA">
      <w:pPr>
        <w:pStyle w:val="Prrafodelista"/>
        <w:spacing w:after="200" w:line="276" w:lineRule="auto"/>
        <w:jc w:val="both"/>
        <w:rPr>
          <w:sz w:val="24"/>
          <w:szCs w:val="24"/>
        </w:rPr>
      </w:pPr>
      <w:r w:rsidRPr="00965DCA">
        <w:rPr>
          <w:b/>
          <w:bCs/>
          <w:sz w:val="24"/>
          <w:szCs w:val="24"/>
        </w:rPr>
        <w:t>Ruta 2:</w:t>
      </w:r>
      <w:r w:rsidRPr="00965DCA">
        <w:rPr>
          <w:sz w:val="24"/>
          <w:szCs w:val="24"/>
        </w:rPr>
        <w:t xml:space="preserve"> La expedición de actos administrativos declarativos de dominio por parte del Ministerio de Minas y Energía, con el objeto de sanear de forma directa la </w:t>
      </w:r>
      <w:r w:rsidRPr="00965DCA">
        <w:rPr>
          <w:sz w:val="24"/>
          <w:szCs w:val="24"/>
        </w:rPr>
        <w:lastRenderedPageBreak/>
        <w:t>tradición de los inmuebles originalmente afectos a las salinas de Zipaquirá y Nemocón transferidos por el extinto Instituto de Fomento Industrial (IFI).</w:t>
      </w:r>
    </w:p>
    <w:p w14:paraId="60ECF2DF" w14:textId="77777777" w:rsidR="00965DCA" w:rsidRPr="00965DCA" w:rsidRDefault="00965DCA" w:rsidP="00965DCA">
      <w:pPr>
        <w:pStyle w:val="Prrafodelista"/>
        <w:spacing w:after="200" w:line="276" w:lineRule="auto"/>
        <w:jc w:val="both"/>
        <w:rPr>
          <w:sz w:val="24"/>
          <w:szCs w:val="24"/>
        </w:rPr>
      </w:pPr>
      <w:r w:rsidRPr="00965DCA">
        <w:rPr>
          <w:b/>
          <w:bCs/>
          <w:sz w:val="24"/>
          <w:szCs w:val="24"/>
        </w:rPr>
        <w:t>Ruta 3:</w:t>
      </w:r>
      <w:r w:rsidRPr="00965DCA">
        <w:rPr>
          <w:sz w:val="24"/>
          <w:szCs w:val="24"/>
        </w:rPr>
        <w:t xml:space="preserve"> La solicitud formal ante el Ministerio de Hacienda y Crédito Público para que, mediante acto administrativo motivado, determine la asignación definitiva de los inmuebles y ordene su consecuente inscripción registral.</w:t>
      </w:r>
    </w:p>
    <w:p w14:paraId="7D2E4507" w14:textId="77777777" w:rsidR="00965DCA" w:rsidRPr="00965DCA" w:rsidRDefault="00965DCA" w:rsidP="00965DCA">
      <w:pPr>
        <w:pStyle w:val="Prrafodelista"/>
        <w:spacing w:after="200" w:line="276" w:lineRule="auto"/>
        <w:jc w:val="both"/>
        <w:rPr>
          <w:sz w:val="24"/>
          <w:szCs w:val="24"/>
        </w:rPr>
      </w:pPr>
    </w:p>
    <w:p w14:paraId="731B0C95" w14:textId="77777777" w:rsidR="00965DCA" w:rsidRPr="00965DCA" w:rsidRDefault="00965DCA" w:rsidP="00965DCA">
      <w:pPr>
        <w:pStyle w:val="Prrafodelista"/>
        <w:numPr>
          <w:ilvl w:val="0"/>
          <w:numId w:val="5"/>
        </w:numPr>
        <w:spacing w:after="200" w:line="276" w:lineRule="auto"/>
        <w:jc w:val="both"/>
        <w:rPr>
          <w:sz w:val="24"/>
          <w:szCs w:val="24"/>
        </w:rPr>
      </w:pPr>
      <w:r w:rsidRPr="00965DCA">
        <w:rPr>
          <w:b/>
          <w:bCs/>
          <w:sz w:val="24"/>
          <w:szCs w:val="24"/>
        </w:rPr>
        <w:t>Regularización y segregación catastral del Predio No. 30:</w:t>
      </w:r>
      <w:r w:rsidRPr="00965DCA">
        <w:rPr>
          <w:sz w:val="24"/>
          <w:szCs w:val="24"/>
        </w:rPr>
        <w:t xml:space="preserve"> Se identifica la necesidad apremiante de iniciar acciones técnico-jurídicas ante la Agencia Catastral de Cundinamarca y la ORIP respecto al predio No. 30 de la matriz. Lo anterior, con el propósito de mutar e independizar su cédula catastral (0001-0006-0018) y lograr la apertura de un Folio de Matrícula Inmobiliaria (FMI) individual que rompa la indeterminación registral actual.</w:t>
      </w:r>
    </w:p>
    <w:p w14:paraId="6FBEB7D2" w14:textId="77777777" w:rsidR="00965DCA" w:rsidRPr="00965DCA" w:rsidRDefault="00965DCA" w:rsidP="00965DCA">
      <w:pPr>
        <w:pStyle w:val="Prrafodelista"/>
        <w:spacing w:after="200" w:line="276" w:lineRule="auto"/>
        <w:jc w:val="both"/>
        <w:rPr>
          <w:sz w:val="24"/>
          <w:szCs w:val="24"/>
        </w:rPr>
      </w:pPr>
    </w:p>
    <w:p w14:paraId="029EF1B2" w14:textId="77777777" w:rsidR="00965DCA" w:rsidRPr="00965DCA" w:rsidRDefault="00965DCA" w:rsidP="00965DCA">
      <w:pPr>
        <w:pStyle w:val="Prrafodelista"/>
        <w:numPr>
          <w:ilvl w:val="0"/>
          <w:numId w:val="5"/>
        </w:numPr>
        <w:spacing w:after="200" w:line="276" w:lineRule="auto"/>
        <w:jc w:val="both"/>
        <w:rPr>
          <w:sz w:val="24"/>
          <w:szCs w:val="24"/>
        </w:rPr>
      </w:pPr>
      <w:r w:rsidRPr="00965DCA">
        <w:rPr>
          <w:b/>
          <w:bCs/>
          <w:sz w:val="24"/>
          <w:szCs w:val="24"/>
        </w:rPr>
        <w:t>Aplicación del fenómeno de prescripción para el saneamiento fiscal:</w:t>
      </w:r>
      <w:r w:rsidRPr="00965DCA">
        <w:rPr>
          <w:sz w:val="24"/>
          <w:szCs w:val="24"/>
        </w:rPr>
        <w:t xml:space="preserve"> Si bien el estado de paz y salvo por concepto de impuesto predial unificado es un requisito habilitante general para la inscripción de actos de transferencia o mutación inmobiliaria, opera en favor de la entidad lo dispuesto en el artículo 817 del Estatuto Tributario. En consecuencia, la acción de cobro de las obligaciones fiscales municipales prescribe en el término de cinco (5) años, haciéndose jurídicamente procedente solicitar ante las respectivas entidades territoriales la declaración de prescripción de todas las deudas tributarias anteriores al año 2021.</w:t>
      </w:r>
    </w:p>
    <w:p w14:paraId="26AAFDA0" w14:textId="77777777" w:rsidR="00965DCA" w:rsidRPr="00965DCA" w:rsidRDefault="00965DCA" w:rsidP="00965DCA">
      <w:pPr>
        <w:jc w:val="both"/>
        <w:rPr>
          <w:rFonts w:ascii="Arial" w:hAnsi="Arial" w:cs="Arial"/>
          <w:b/>
          <w:bCs/>
          <w:sz w:val="24"/>
          <w:szCs w:val="24"/>
        </w:rPr>
      </w:pPr>
    </w:p>
    <w:p w14:paraId="08D0B34E" w14:textId="77777777" w:rsidR="00965DCA" w:rsidRPr="00965DCA" w:rsidRDefault="00965DCA" w:rsidP="00965DCA">
      <w:pPr>
        <w:pStyle w:val="Prrafodelista"/>
        <w:numPr>
          <w:ilvl w:val="0"/>
          <w:numId w:val="5"/>
        </w:numPr>
        <w:spacing w:after="200" w:line="276" w:lineRule="auto"/>
        <w:jc w:val="both"/>
        <w:rPr>
          <w:color w:val="8496B0" w:themeColor="text2" w:themeTint="99"/>
          <w:sz w:val="24"/>
          <w:szCs w:val="24"/>
        </w:rPr>
      </w:pPr>
      <w:r w:rsidRPr="00965DCA">
        <w:rPr>
          <w:b/>
          <w:bCs/>
          <w:sz w:val="24"/>
          <w:szCs w:val="24"/>
        </w:rPr>
        <w:t>Subsanación provisional ante la falta de incorporación catastral:</w:t>
      </w:r>
      <w:r w:rsidRPr="00965DCA">
        <w:rPr>
          <w:sz w:val="24"/>
          <w:szCs w:val="24"/>
        </w:rPr>
        <w:t xml:space="preserve"> Para los predios que carecen de incorporación en las bases de datos catastrales, la obtención del </w:t>
      </w:r>
      <w:r w:rsidRPr="00965DCA">
        <w:rPr>
          <w:i/>
          <w:iCs/>
          <w:sz w:val="24"/>
          <w:szCs w:val="24"/>
        </w:rPr>
        <w:t>Certificado de No Inscripción Catastral</w:t>
      </w:r>
      <w:r w:rsidRPr="00965DCA">
        <w:rPr>
          <w:sz w:val="24"/>
          <w:szCs w:val="24"/>
        </w:rPr>
        <w:t xml:space="preserve"> y de la constancia de </w:t>
      </w:r>
      <w:r w:rsidRPr="00965DCA">
        <w:rPr>
          <w:i/>
          <w:iCs/>
          <w:sz w:val="24"/>
          <w:szCs w:val="24"/>
        </w:rPr>
        <w:t>No Registro de Deuda</w:t>
      </w:r>
      <w:r w:rsidRPr="00965DCA">
        <w:rPr>
          <w:sz w:val="24"/>
          <w:szCs w:val="24"/>
        </w:rPr>
        <w:t xml:space="preserve"> ante las Secretarías de Hacienda Municipales (gestionados mediante los radicados 2-2026-026484</w:t>
      </w:r>
      <w:r w:rsidRPr="00965DCA">
        <w:rPr>
          <w:color w:val="FF0000"/>
          <w:sz w:val="24"/>
          <w:szCs w:val="24"/>
        </w:rPr>
        <w:t xml:space="preserve"> </w:t>
      </w:r>
      <w:r w:rsidRPr="00965DCA">
        <w:rPr>
          <w:sz w:val="24"/>
          <w:szCs w:val="24"/>
        </w:rPr>
        <w:t>y 2-2026-026480, respectivamente) configuran los soportes legales idóneos para mitigar transitoriamente la ausencia de paz y salvo fiscal, viabilizando el proceso de calificación ante la ORIP. No obstante, esta figura podría no ser aceptada por la ORIP y ser devuelto el trámite. En tales casos, será necesario adelantar previamente las gestiones de actualización, validación o incorporación de la información catastral correspondiente, lo que puede generar ajustes en los tiempos inicialmente previstos para la culminación del proceso.</w:t>
      </w:r>
    </w:p>
    <w:p w14:paraId="497B6917" w14:textId="77777777" w:rsidR="00965DCA" w:rsidRPr="00965DCA" w:rsidRDefault="00965DCA" w:rsidP="00965DCA">
      <w:pPr>
        <w:pStyle w:val="Prrafodelista"/>
        <w:spacing w:after="200" w:line="276" w:lineRule="auto"/>
        <w:jc w:val="both"/>
        <w:rPr>
          <w:color w:val="8496B0" w:themeColor="text2" w:themeTint="99"/>
          <w:sz w:val="24"/>
          <w:szCs w:val="24"/>
        </w:rPr>
      </w:pPr>
    </w:p>
    <w:p w14:paraId="1E7B6236" w14:textId="77777777" w:rsidR="00965DCA" w:rsidRPr="00965DCA" w:rsidRDefault="00965DCA" w:rsidP="00965DCA">
      <w:pPr>
        <w:pStyle w:val="Prrafodelista"/>
        <w:numPr>
          <w:ilvl w:val="0"/>
          <w:numId w:val="5"/>
        </w:numPr>
        <w:spacing w:after="200" w:line="276" w:lineRule="auto"/>
        <w:jc w:val="both"/>
        <w:rPr>
          <w:color w:val="8496B0" w:themeColor="text2" w:themeTint="99"/>
          <w:sz w:val="24"/>
          <w:szCs w:val="24"/>
        </w:rPr>
      </w:pPr>
      <w:r w:rsidRPr="00965DCA">
        <w:rPr>
          <w:b/>
          <w:bCs/>
          <w:sz w:val="24"/>
          <w:szCs w:val="24"/>
        </w:rPr>
        <w:t>Viabilidad jurídica para la gestión de exoneración impositiva:</w:t>
      </w:r>
      <w:r w:rsidRPr="00965DCA">
        <w:rPr>
          <w:sz w:val="24"/>
          <w:szCs w:val="24"/>
        </w:rPr>
        <w:t xml:space="preserve"> Existe un marco </w:t>
      </w:r>
      <w:r w:rsidRPr="00965DCA">
        <w:rPr>
          <w:sz w:val="24"/>
          <w:szCs w:val="24"/>
        </w:rPr>
        <w:lastRenderedPageBreak/>
        <w:t>legal sólido al amparo del artículo 313 (numeral 4) de la Constitución Política y el artículo 32 de la Ley 136 de 1994, el cual faculta a los Concejos Municipales para otorgar la exención o condonación total de la cartera tributaria por motivos de utilidad pública e interés social. Esta concertación directa se establece como una línea de acción prioritaria, toda vez que el saneamiento del pasivo fiscal constituye el requisito habilitante recíproco para viabilizar el registro de los inmuebles y su posterior traslado patrimonial a los entes territoriales.</w:t>
      </w:r>
    </w:p>
    <w:p w14:paraId="7E7376B3" w14:textId="77777777" w:rsidR="00965DCA" w:rsidRPr="00965DCA" w:rsidRDefault="00965DCA" w:rsidP="00965DCA">
      <w:pPr>
        <w:jc w:val="both"/>
        <w:rPr>
          <w:rFonts w:ascii="Arial" w:hAnsi="Arial" w:cs="Arial"/>
          <w:b/>
          <w:bCs/>
          <w:sz w:val="24"/>
          <w:szCs w:val="24"/>
        </w:rPr>
      </w:pPr>
    </w:p>
    <w:p w14:paraId="2E9D9D00" w14:textId="77777777" w:rsidR="00965DCA" w:rsidRPr="00965DCA" w:rsidRDefault="00965DCA" w:rsidP="00965DCA">
      <w:pPr>
        <w:pStyle w:val="Prrafodelista"/>
        <w:numPr>
          <w:ilvl w:val="0"/>
          <w:numId w:val="5"/>
        </w:numPr>
        <w:spacing w:after="200" w:line="276" w:lineRule="auto"/>
        <w:jc w:val="both"/>
        <w:rPr>
          <w:sz w:val="24"/>
          <w:szCs w:val="24"/>
        </w:rPr>
      </w:pPr>
      <w:r w:rsidRPr="00965DCA">
        <w:rPr>
          <w:b/>
          <w:bCs/>
          <w:sz w:val="24"/>
          <w:szCs w:val="24"/>
        </w:rPr>
        <w:t>Urgencia contable y ambiental por compromisos del Convenio:</w:t>
      </w:r>
      <w:r w:rsidRPr="00965DCA">
        <w:rPr>
          <w:sz w:val="24"/>
          <w:szCs w:val="24"/>
        </w:rPr>
        <w:t xml:space="preserve"> El Convenio Interadministrativo N° CAR-CONV-2741-2025 traslada una urgencia de carácter fiscal, contable y ambiental al Ministerio de Minas y Energía. Al haberse pactado la protección integral del Páramo de Guerrero, se genera la obligación de sanear con prelación absoluta la titularidad de los centros operacionales denominados </w:t>
      </w:r>
      <w:r w:rsidRPr="00965DCA">
        <w:rPr>
          <w:i/>
          <w:iCs/>
          <w:sz w:val="24"/>
          <w:szCs w:val="24"/>
        </w:rPr>
        <w:t>"Lote Pantano Redondo"</w:t>
      </w:r>
      <w:r w:rsidRPr="00965DCA">
        <w:rPr>
          <w:sz w:val="24"/>
          <w:szCs w:val="24"/>
        </w:rPr>
        <w:t xml:space="preserve"> y </w:t>
      </w:r>
      <w:r w:rsidRPr="00965DCA">
        <w:rPr>
          <w:i/>
          <w:iCs/>
          <w:sz w:val="24"/>
          <w:szCs w:val="24"/>
        </w:rPr>
        <w:t>"Lote La Calera - El Cedro"</w:t>
      </w:r>
      <w:r w:rsidRPr="00965DCA">
        <w:rPr>
          <w:sz w:val="24"/>
          <w:szCs w:val="24"/>
        </w:rPr>
        <w:t>, presupuesto indispensable para la entrega material y formal a la autoridad ambiental.</w:t>
      </w:r>
    </w:p>
    <w:p w14:paraId="6F9CD919" w14:textId="77777777" w:rsidR="00965DCA" w:rsidRPr="00965DCA" w:rsidRDefault="00965DCA" w:rsidP="00965DCA">
      <w:pPr>
        <w:pStyle w:val="Prrafodelista"/>
        <w:spacing w:after="200" w:line="276" w:lineRule="auto"/>
        <w:jc w:val="both"/>
        <w:rPr>
          <w:sz w:val="24"/>
          <w:szCs w:val="24"/>
        </w:rPr>
      </w:pPr>
    </w:p>
    <w:p w14:paraId="6F417496" w14:textId="77777777" w:rsidR="00965DCA" w:rsidRPr="00965DCA" w:rsidRDefault="00965DCA" w:rsidP="00965DCA">
      <w:pPr>
        <w:pStyle w:val="Prrafodelista"/>
        <w:numPr>
          <w:ilvl w:val="0"/>
          <w:numId w:val="5"/>
        </w:numPr>
        <w:spacing w:after="200" w:line="276" w:lineRule="auto"/>
        <w:jc w:val="both"/>
        <w:rPr>
          <w:sz w:val="24"/>
          <w:szCs w:val="24"/>
        </w:rPr>
      </w:pPr>
      <w:r w:rsidRPr="00965DCA">
        <w:rPr>
          <w:b/>
          <w:bCs/>
          <w:sz w:val="24"/>
          <w:szCs w:val="24"/>
        </w:rPr>
        <w:t xml:space="preserve">Saneamiento de la Tradición Predio identificado con NPN 258990000000000020045000000000: </w:t>
      </w:r>
      <w:r w:rsidRPr="00965DCA">
        <w:rPr>
          <w:sz w:val="24"/>
          <w:szCs w:val="24"/>
        </w:rPr>
        <w:t xml:space="preserve">Se identificó una superposición jurídica crítica generada por la Resolución No. 202471002267976 de 2024 de la ANT, la cual adjudicó como baldío un sector que interseca al menos diez (10) folios de matrícula inmobiliaria con una tradición privada y fiscal consolidada (Concesión Salinas - IFI - Ministerio de Minas y Energía). Para salvaguardar el patrimonio de la Nación, se concluye la necesidad de elevar una solicitud formal a la Oficina Asesora Jurídica para que defina la ruta técnica y legal de defensa activa. </w:t>
      </w:r>
    </w:p>
    <w:p w14:paraId="3D229CE6" w14:textId="77777777" w:rsidR="00965DCA" w:rsidRPr="00965DCA" w:rsidRDefault="00965DCA" w:rsidP="00965DCA">
      <w:pPr>
        <w:pStyle w:val="Prrafodelista"/>
        <w:spacing w:after="200" w:line="276" w:lineRule="auto"/>
        <w:jc w:val="both"/>
        <w:rPr>
          <w:sz w:val="24"/>
          <w:szCs w:val="24"/>
        </w:rPr>
      </w:pPr>
    </w:p>
    <w:p w14:paraId="73E9E783" w14:textId="77777777" w:rsidR="00965DCA" w:rsidRPr="00965DCA" w:rsidRDefault="00965DCA" w:rsidP="00965DCA">
      <w:pPr>
        <w:pStyle w:val="Prrafodelista"/>
        <w:numPr>
          <w:ilvl w:val="0"/>
          <w:numId w:val="5"/>
        </w:numPr>
        <w:spacing w:after="200" w:line="276" w:lineRule="auto"/>
        <w:jc w:val="both"/>
        <w:rPr>
          <w:sz w:val="24"/>
          <w:szCs w:val="24"/>
        </w:rPr>
      </w:pPr>
      <w:r w:rsidRPr="00965DCA">
        <w:rPr>
          <w:b/>
          <w:bCs/>
          <w:sz w:val="24"/>
          <w:szCs w:val="24"/>
        </w:rPr>
        <w:t>Conclusión general:</w:t>
      </w:r>
      <w:r w:rsidRPr="00965DCA">
        <w:rPr>
          <w:sz w:val="24"/>
          <w:szCs w:val="24"/>
        </w:rPr>
        <w:t xml:space="preserve"> El análisis efectuado demuestra que las dificultades existentes corresponden principalmente a inconsistencias de carácter formal y administrativo acumuladas durante varios años, mas no a controversias sobre la titularidad material de los inmuebles. En consecuencia, las actuaciones requeridas se orientan al saneamiento registral, la armonización de la información catastral y la consolidación del inventario inmobiliario del Ministerio de Minas y Energía.</w:t>
      </w:r>
    </w:p>
    <w:p w14:paraId="6F638320" w14:textId="77777777" w:rsidR="00965DCA" w:rsidRPr="00965DCA" w:rsidRDefault="00965DCA" w:rsidP="00965DCA">
      <w:pPr>
        <w:pStyle w:val="Prrafodelista"/>
        <w:spacing w:after="200" w:line="276" w:lineRule="auto"/>
        <w:jc w:val="both"/>
        <w:rPr>
          <w:sz w:val="24"/>
          <w:szCs w:val="24"/>
        </w:rPr>
      </w:pPr>
    </w:p>
    <w:p w14:paraId="57AA4A40" w14:textId="77777777" w:rsidR="00965DCA" w:rsidRPr="00965DCA" w:rsidRDefault="00965DCA" w:rsidP="00965DCA">
      <w:pPr>
        <w:pStyle w:val="Prrafodelista"/>
        <w:spacing w:after="200" w:line="276" w:lineRule="auto"/>
        <w:jc w:val="both"/>
        <w:rPr>
          <w:sz w:val="24"/>
          <w:szCs w:val="24"/>
        </w:rPr>
      </w:pPr>
      <w:r w:rsidRPr="00965DCA">
        <w:rPr>
          <w:sz w:val="24"/>
          <w:szCs w:val="24"/>
        </w:rPr>
        <w:t xml:space="preserve">El proceso de saneamiento predial requiere una actuación coordinada entre las dependencias del Ministerio, particularmente la Secretaría General, la Oficina Asesora Jurídica y la Subdirección Administrativa y Financiera, de manera que las </w:t>
      </w:r>
      <w:r w:rsidRPr="00965DCA">
        <w:rPr>
          <w:sz w:val="24"/>
          <w:szCs w:val="24"/>
        </w:rPr>
        <w:lastRenderedPageBreak/>
        <w:t xml:space="preserve">decisiones técnicas, jurídicas y administrativas confluyan en la obtención de la plena </w:t>
      </w:r>
      <w:proofErr w:type="spellStart"/>
      <w:r w:rsidRPr="00965DCA">
        <w:rPr>
          <w:sz w:val="24"/>
          <w:szCs w:val="24"/>
        </w:rPr>
        <w:t>registrabilidad</w:t>
      </w:r>
      <w:proofErr w:type="spellEnd"/>
      <w:r w:rsidRPr="00965DCA">
        <w:rPr>
          <w:sz w:val="24"/>
          <w:szCs w:val="24"/>
        </w:rPr>
        <w:t xml:space="preserve"> de los bienes fiscales.</w:t>
      </w:r>
    </w:p>
    <w:p w14:paraId="551E62EE" w14:textId="21BA7F78" w:rsidR="00C04679" w:rsidRPr="00965DCA" w:rsidRDefault="00C04679" w:rsidP="00965DCA">
      <w:pPr>
        <w:ind w:left="708" w:hanging="708"/>
        <w:jc w:val="right"/>
        <w:rPr>
          <w:rFonts w:ascii="Arial" w:hAnsi="Arial" w:cs="Arial"/>
          <w:sz w:val="24"/>
          <w:szCs w:val="24"/>
        </w:rPr>
      </w:pPr>
    </w:p>
    <w:sectPr w:rsidR="00C04679" w:rsidRPr="00965DCA" w:rsidSect="0023586F">
      <w:pgSz w:w="12240" w:h="15840"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67959" w14:textId="77777777" w:rsidR="001E7327" w:rsidRDefault="001E7327">
      <w:pPr>
        <w:spacing w:after="0" w:line="240" w:lineRule="auto"/>
      </w:pPr>
      <w:r>
        <w:separator/>
      </w:r>
    </w:p>
  </w:endnote>
  <w:endnote w:type="continuationSeparator" w:id="0">
    <w:p w14:paraId="65FC2439" w14:textId="77777777" w:rsidR="001E7327" w:rsidRDefault="001E7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20B0603030804020204"/>
    <w:charset w:val="00"/>
    <w:family w:val="swiss"/>
    <w:pitch w:val="variable"/>
    <w:sig w:usb0="800000AF" w:usb1="1000204A" w:usb2="00000000" w:usb3="00000000" w:csb0="00000001" w:csb1="00000000"/>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FF0DA6" w:rsidRDefault="00FF0DA6">
    <w:pPr>
      <w:pStyle w:val="Piedepgina"/>
      <w:rPr>
        <w:noProof/>
        <w:lang w:eastAsia="es-CO"/>
      </w:rPr>
    </w:pPr>
  </w:p>
  <w:p w14:paraId="596BC2D9" w14:textId="69CB67AE" w:rsidR="00C04679" w:rsidRDefault="00713CBD">
    <w:pPr>
      <w:pStyle w:val="Piedepgina"/>
    </w:pPr>
    <w:r>
      <w:rPr>
        <w:noProof/>
      </w:rPr>
      <w:drawing>
        <wp:anchor distT="0" distB="0" distL="114300" distR="114300" simplePos="0" relativeHeight="251665408"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CF3" w14:textId="77777777" w:rsidR="001E7327" w:rsidRDefault="001E7327">
      <w:pPr>
        <w:spacing w:after="0" w:line="240" w:lineRule="auto"/>
      </w:pPr>
      <w:r>
        <w:separator/>
      </w:r>
    </w:p>
  </w:footnote>
  <w:footnote w:type="continuationSeparator" w:id="0">
    <w:p w14:paraId="5012139A" w14:textId="77777777" w:rsidR="001E7327" w:rsidRDefault="001E73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EndPr>
      <w:rPr>
        <w:rFonts w:ascii="Work Sans" w:hAnsi="Work Sans" w:cs="Arial"/>
        <w:sz w:val="18"/>
        <w:lang w:val="es-ES"/>
      </w:rPr>
    </w:sdtEndPr>
    <w:sdtContent>
      <w:p w14:paraId="6D49CADF" w14:textId="299BF8CF" w:rsidR="00D33464" w:rsidRDefault="00183F06">
        <w:pPr>
          <w:pStyle w:val="Encabezado"/>
          <w:jc w:val="right"/>
        </w:pPr>
        <w:r>
          <w:rPr>
            <w:noProof/>
          </w:rPr>
          <w:drawing>
            <wp:anchor distT="0" distB="0" distL="114300" distR="114300" simplePos="0" relativeHeight="25166336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Default="00A32F93" w:rsidP="00A32F93">
        <w:pPr>
          <w:pStyle w:val="Encabezado"/>
          <w:tabs>
            <w:tab w:val="left" w:pos="2775"/>
          </w:tabs>
        </w:pPr>
        <w:r>
          <w:t xml:space="preserve">               </w:t>
        </w:r>
        <w:r>
          <w:tab/>
          <w:t xml:space="preserve">                       </w:t>
        </w:r>
        <w:r>
          <w:tab/>
        </w:r>
      </w:p>
      <w:p w14:paraId="45DE8BFC" w14:textId="77777777" w:rsidR="00183F06" w:rsidRDefault="00183F06">
        <w:pPr>
          <w:pStyle w:val="Encabezado"/>
          <w:jc w:val="right"/>
          <w:rPr>
            <w:rFonts w:ascii="Work Sans" w:hAnsi="Work Sans" w:cs="Arial"/>
            <w:sz w:val="18"/>
            <w:lang w:val="es-ES"/>
          </w:rPr>
        </w:pPr>
      </w:p>
      <w:p w14:paraId="31986480" w14:textId="77777777" w:rsidR="00183F06" w:rsidRDefault="00183F06">
        <w:pPr>
          <w:pStyle w:val="Encabezado"/>
          <w:jc w:val="right"/>
          <w:rPr>
            <w:rFonts w:ascii="Work Sans" w:hAnsi="Work Sans" w:cs="Arial"/>
            <w:sz w:val="18"/>
            <w:lang w:val="es-ES"/>
          </w:rPr>
        </w:pPr>
      </w:p>
      <w:p w14:paraId="5317573A" w14:textId="5F289104" w:rsidR="00183F06" w:rsidRDefault="00000000">
        <w:pPr>
          <w:pStyle w:val="Encabezado"/>
          <w:jc w:val="right"/>
          <w:rPr>
            <w:rFonts w:ascii="Work Sans" w:hAnsi="Work Sans" w:cs="Arial"/>
            <w:sz w:val="18"/>
            <w:lang w:val="es-ES"/>
          </w:rPr>
        </w:pPr>
      </w:p>
    </w:sdtContent>
  </w:sdt>
  <w:p w14:paraId="4E3C8D1E" w14:textId="77777777" w:rsidR="00C04679" w:rsidRDefault="00C04679">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43F1"/>
    <w:multiLevelType w:val="hybridMultilevel"/>
    <w:tmpl w:val="25BAD6BC"/>
    <w:lvl w:ilvl="0" w:tplc="84C86452">
      <w:start w:val="1"/>
      <w:numFmt w:val="bullet"/>
      <w:lvlText w:val=""/>
      <w:lvlJc w:val="left"/>
      <w:pPr>
        <w:ind w:left="720" w:hanging="360"/>
      </w:pPr>
      <w:rPr>
        <w:rFonts w:ascii="Symbol" w:hAnsi="Symbol" w:hint="default"/>
      </w:rPr>
    </w:lvl>
    <w:lvl w:ilvl="1" w:tplc="1CC04828">
      <w:start w:val="1"/>
      <w:numFmt w:val="bullet"/>
      <w:lvlText w:val="o"/>
      <w:lvlJc w:val="left"/>
      <w:pPr>
        <w:ind w:left="1440" w:hanging="360"/>
      </w:pPr>
      <w:rPr>
        <w:rFonts w:ascii="Courier New" w:hAnsi="Courier New" w:hint="default"/>
      </w:rPr>
    </w:lvl>
    <w:lvl w:ilvl="2" w:tplc="A00C641A">
      <w:start w:val="1"/>
      <w:numFmt w:val="bullet"/>
      <w:lvlText w:val=""/>
      <w:lvlJc w:val="left"/>
      <w:pPr>
        <w:ind w:left="2160" w:hanging="360"/>
      </w:pPr>
      <w:rPr>
        <w:rFonts w:ascii="Wingdings" w:hAnsi="Wingdings" w:hint="default"/>
      </w:rPr>
    </w:lvl>
    <w:lvl w:ilvl="3" w:tplc="B4686982">
      <w:start w:val="1"/>
      <w:numFmt w:val="bullet"/>
      <w:lvlText w:val=""/>
      <w:lvlJc w:val="left"/>
      <w:pPr>
        <w:ind w:left="2880" w:hanging="360"/>
      </w:pPr>
      <w:rPr>
        <w:rFonts w:ascii="Symbol" w:hAnsi="Symbol" w:hint="default"/>
      </w:rPr>
    </w:lvl>
    <w:lvl w:ilvl="4" w:tplc="FE209670">
      <w:start w:val="1"/>
      <w:numFmt w:val="bullet"/>
      <w:lvlText w:val="o"/>
      <w:lvlJc w:val="left"/>
      <w:pPr>
        <w:ind w:left="3600" w:hanging="360"/>
      </w:pPr>
      <w:rPr>
        <w:rFonts w:ascii="Courier New" w:hAnsi="Courier New" w:hint="default"/>
      </w:rPr>
    </w:lvl>
    <w:lvl w:ilvl="5" w:tplc="EFA0800A">
      <w:start w:val="1"/>
      <w:numFmt w:val="bullet"/>
      <w:lvlText w:val=""/>
      <w:lvlJc w:val="left"/>
      <w:pPr>
        <w:ind w:left="4320" w:hanging="360"/>
      </w:pPr>
      <w:rPr>
        <w:rFonts w:ascii="Wingdings" w:hAnsi="Wingdings" w:hint="default"/>
      </w:rPr>
    </w:lvl>
    <w:lvl w:ilvl="6" w:tplc="7AC66884">
      <w:start w:val="1"/>
      <w:numFmt w:val="bullet"/>
      <w:lvlText w:val=""/>
      <w:lvlJc w:val="left"/>
      <w:pPr>
        <w:ind w:left="5040" w:hanging="360"/>
      </w:pPr>
      <w:rPr>
        <w:rFonts w:ascii="Symbol" w:hAnsi="Symbol" w:hint="default"/>
      </w:rPr>
    </w:lvl>
    <w:lvl w:ilvl="7" w:tplc="0450D540">
      <w:start w:val="1"/>
      <w:numFmt w:val="bullet"/>
      <w:lvlText w:val="o"/>
      <w:lvlJc w:val="left"/>
      <w:pPr>
        <w:ind w:left="5760" w:hanging="360"/>
      </w:pPr>
      <w:rPr>
        <w:rFonts w:ascii="Courier New" w:hAnsi="Courier New" w:hint="default"/>
      </w:rPr>
    </w:lvl>
    <w:lvl w:ilvl="8" w:tplc="710C4FFC">
      <w:start w:val="1"/>
      <w:numFmt w:val="bullet"/>
      <w:lvlText w:val=""/>
      <w:lvlJc w:val="left"/>
      <w:pPr>
        <w:ind w:left="6480" w:hanging="360"/>
      </w:pPr>
      <w:rPr>
        <w:rFonts w:ascii="Wingdings" w:hAnsi="Wingdings" w:hint="default"/>
      </w:rPr>
    </w:lvl>
  </w:abstractNum>
  <w:abstractNum w:abstractNumId="1" w15:restartNumberingAfterBreak="0">
    <w:nsid w:val="0CDD05AA"/>
    <w:multiLevelType w:val="hybridMultilevel"/>
    <w:tmpl w:val="C1E61E7A"/>
    <w:lvl w:ilvl="0" w:tplc="7F2C4232">
      <w:start w:val="1"/>
      <w:numFmt w:val="bullet"/>
      <w:lvlText w:val=""/>
      <w:lvlJc w:val="left"/>
      <w:pPr>
        <w:ind w:left="720" w:hanging="360"/>
      </w:pPr>
      <w:rPr>
        <w:rFonts w:ascii="Wingdings" w:hAnsi="Wingdings" w:hint="default"/>
      </w:rPr>
    </w:lvl>
    <w:lvl w:ilvl="1" w:tplc="EFDEDBF2">
      <w:start w:val="1"/>
      <w:numFmt w:val="bullet"/>
      <w:lvlText w:val="o"/>
      <w:lvlJc w:val="left"/>
      <w:pPr>
        <w:ind w:left="1440" w:hanging="360"/>
      </w:pPr>
      <w:rPr>
        <w:rFonts w:ascii="Courier New" w:hAnsi="Courier New" w:hint="default"/>
      </w:rPr>
    </w:lvl>
    <w:lvl w:ilvl="2" w:tplc="976CA582">
      <w:start w:val="1"/>
      <w:numFmt w:val="bullet"/>
      <w:lvlText w:val=""/>
      <w:lvlJc w:val="left"/>
      <w:pPr>
        <w:ind w:left="2160" w:hanging="360"/>
      </w:pPr>
      <w:rPr>
        <w:rFonts w:ascii="Wingdings" w:hAnsi="Wingdings" w:hint="default"/>
      </w:rPr>
    </w:lvl>
    <w:lvl w:ilvl="3" w:tplc="FA2059DA">
      <w:start w:val="1"/>
      <w:numFmt w:val="bullet"/>
      <w:lvlText w:val=""/>
      <w:lvlJc w:val="left"/>
      <w:pPr>
        <w:ind w:left="2880" w:hanging="360"/>
      </w:pPr>
      <w:rPr>
        <w:rFonts w:ascii="Symbol" w:hAnsi="Symbol" w:hint="default"/>
      </w:rPr>
    </w:lvl>
    <w:lvl w:ilvl="4" w:tplc="950EC41A">
      <w:start w:val="1"/>
      <w:numFmt w:val="bullet"/>
      <w:lvlText w:val="o"/>
      <w:lvlJc w:val="left"/>
      <w:pPr>
        <w:ind w:left="3600" w:hanging="360"/>
      </w:pPr>
      <w:rPr>
        <w:rFonts w:ascii="Courier New" w:hAnsi="Courier New" w:hint="default"/>
      </w:rPr>
    </w:lvl>
    <w:lvl w:ilvl="5" w:tplc="A612A02C">
      <w:start w:val="1"/>
      <w:numFmt w:val="bullet"/>
      <w:lvlText w:val=""/>
      <w:lvlJc w:val="left"/>
      <w:pPr>
        <w:ind w:left="4320" w:hanging="360"/>
      </w:pPr>
      <w:rPr>
        <w:rFonts w:ascii="Wingdings" w:hAnsi="Wingdings" w:hint="default"/>
      </w:rPr>
    </w:lvl>
    <w:lvl w:ilvl="6" w:tplc="681EA332">
      <w:start w:val="1"/>
      <w:numFmt w:val="bullet"/>
      <w:lvlText w:val=""/>
      <w:lvlJc w:val="left"/>
      <w:pPr>
        <w:ind w:left="5040" w:hanging="360"/>
      </w:pPr>
      <w:rPr>
        <w:rFonts w:ascii="Symbol" w:hAnsi="Symbol" w:hint="default"/>
      </w:rPr>
    </w:lvl>
    <w:lvl w:ilvl="7" w:tplc="47D673D4">
      <w:start w:val="1"/>
      <w:numFmt w:val="bullet"/>
      <w:lvlText w:val="o"/>
      <w:lvlJc w:val="left"/>
      <w:pPr>
        <w:ind w:left="5760" w:hanging="360"/>
      </w:pPr>
      <w:rPr>
        <w:rFonts w:ascii="Courier New" w:hAnsi="Courier New" w:hint="default"/>
      </w:rPr>
    </w:lvl>
    <w:lvl w:ilvl="8" w:tplc="2AA688C6">
      <w:start w:val="1"/>
      <w:numFmt w:val="bullet"/>
      <w:lvlText w:val=""/>
      <w:lvlJc w:val="left"/>
      <w:pPr>
        <w:ind w:left="6480" w:hanging="360"/>
      </w:pPr>
      <w:rPr>
        <w:rFonts w:ascii="Wingdings" w:hAnsi="Wingdings" w:hint="default"/>
      </w:rPr>
    </w:lvl>
  </w:abstractNum>
  <w:abstractNum w:abstractNumId="2" w15:restartNumberingAfterBreak="0">
    <w:nsid w:val="0EA5A865"/>
    <w:multiLevelType w:val="hybridMultilevel"/>
    <w:tmpl w:val="0400B0F8"/>
    <w:lvl w:ilvl="0" w:tplc="B88A382E">
      <w:start w:val="1"/>
      <w:numFmt w:val="decimal"/>
      <w:lvlText w:val="%1."/>
      <w:lvlJc w:val="left"/>
      <w:pPr>
        <w:ind w:left="720" w:hanging="360"/>
      </w:pPr>
      <w:rPr>
        <w:b/>
        <w:bCs/>
        <w:color w:val="auto"/>
      </w:rPr>
    </w:lvl>
    <w:lvl w:ilvl="1" w:tplc="028E78E6">
      <w:start w:val="1"/>
      <w:numFmt w:val="lowerLetter"/>
      <w:lvlText w:val="%2."/>
      <w:lvlJc w:val="left"/>
      <w:pPr>
        <w:ind w:left="1440" w:hanging="360"/>
      </w:pPr>
    </w:lvl>
    <w:lvl w:ilvl="2" w:tplc="8110AA48">
      <w:start w:val="1"/>
      <w:numFmt w:val="lowerRoman"/>
      <w:lvlText w:val="%3."/>
      <w:lvlJc w:val="right"/>
      <w:pPr>
        <w:ind w:left="2160" w:hanging="180"/>
      </w:pPr>
    </w:lvl>
    <w:lvl w:ilvl="3" w:tplc="0B6C79A0">
      <w:start w:val="1"/>
      <w:numFmt w:val="decimal"/>
      <w:lvlText w:val="%4."/>
      <w:lvlJc w:val="left"/>
      <w:pPr>
        <w:ind w:left="2880" w:hanging="360"/>
      </w:pPr>
    </w:lvl>
    <w:lvl w:ilvl="4" w:tplc="80582758">
      <w:start w:val="1"/>
      <w:numFmt w:val="lowerLetter"/>
      <w:lvlText w:val="%5."/>
      <w:lvlJc w:val="left"/>
      <w:pPr>
        <w:ind w:left="3600" w:hanging="360"/>
      </w:pPr>
    </w:lvl>
    <w:lvl w:ilvl="5" w:tplc="BFF23C54">
      <w:start w:val="1"/>
      <w:numFmt w:val="lowerRoman"/>
      <w:lvlText w:val="%6."/>
      <w:lvlJc w:val="right"/>
      <w:pPr>
        <w:ind w:left="4320" w:hanging="180"/>
      </w:pPr>
    </w:lvl>
    <w:lvl w:ilvl="6" w:tplc="E514F632">
      <w:start w:val="1"/>
      <w:numFmt w:val="decimal"/>
      <w:lvlText w:val="%7."/>
      <w:lvlJc w:val="left"/>
      <w:pPr>
        <w:ind w:left="5040" w:hanging="360"/>
      </w:pPr>
    </w:lvl>
    <w:lvl w:ilvl="7" w:tplc="76DAF142">
      <w:start w:val="1"/>
      <w:numFmt w:val="lowerLetter"/>
      <w:lvlText w:val="%8."/>
      <w:lvlJc w:val="left"/>
      <w:pPr>
        <w:ind w:left="5760" w:hanging="360"/>
      </w:pPr>
    </w:lvl>
    <w:lvl w:ilvl="8" w:tplc="0AC68E02">
      <w:start w:val="1"/>
      <w:numFmt w:val="lowerRoman"/>
      <w:lvlText w:val="%9."/>
      <w:lvlJc w:val="right"/>
      <w:pPr>
        <w:ind w:left="6480" w:hanging="180"/>
      </w:pPr>
    </w:lvl>
  </w:abstractNum>
  <w:abstractNum w:abstractNumId="3" w15:restartNumberingAfterBreak="0">
    <w:nsid w:val="16991E31"/>
    <w:multiLevelType w:val="hybridMultilevel"/>
    <w:tmpl w:val="282C9652"/>
    <w:lvl w:ilvl="0" w:tplc="240A0017">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B29E1C"/>
    <w:multiLevelType w:val="hybridMultilevel"/>
    <w:tmpl w:val="93B40F1A"/>
    <w:lvl w:ilvl="0" w:tplc="BE46F2F2">
      <w:start w:val="1"/>
      <w:numFmt w:val="lowerLetter"/>
      <w:lvlText w:val="%1."/>
      <w:lvlJc w:val="left"/>
      <w:pPr>
        <w:ind w:left="720" w:hanging="360"/>
      </w:pPr>
    </w:lvl>
    <w:lvl w:ilvl="1" w:tplc="D4766526">
      <w:start w:val="1"/>
      <w:numFmt w:val="lowerLetter"/>
      <w:lvlText w:val="%2."/>
      <w:lvlJc w:val="left"/>
      <w:pPr>
        <w:ind w:left="1440" w:hanging="360"/>
      </w:pPr>
    </w:lvl>
    <w:lvl w:ilvl="2" w:tplc="C48E1FCE">
      <w:start w:val="1"/>
      <w:numFmt w:val="lowerRoman"/>
      <w:lvlText w:val="%3."/>
      <w:lvlJc w:val="right"/>
      <w:pPr>
        <w:ind w:left="2160" w:hanging="180"/>
      </w:pPr>
    </w:lvl>
    <w:lvl w:ilvl="3" w:tplc="61847414">
      <w:start w:val="1"/>
      <w:numFmt w:val="decimal"/>
      <w:lvlText w:val="%4."/>
      <w:lvlJc w:val="left"/>
      <w:pPr>
        <w:ind w:left="2880" w:hanging="360"/>
      </w:pPr>
    </w:lvl>
    <w:lvl w:ilvl="4" w:tplc="B06A847C">
      <w:start w:val="1"/>
      <w:numFmt w:val="lowerLetter"/>
      <w:lvlText w:val="%5."/>
      <w:lvlJc w:val="left"/>
      <w:pPr>
        <w:ind w:left="3600" w:hanging="360"/>
      </w:pPr>
    </w:lvl>
    <w:lvl w:ilvl="5" w:tplc="2B6C2E2E">
      <w:start w:val="1"/>
      <w:numFmt w:val="lowerRoman"/>
      <w:lvlText w:val="%6."/>
      <w:lvlJc w:val="right"/>
      <w:pPr>
        <w:ind w:left="4320" w:hanging="180"/>
      </w:pPr>
    </w:lvl>
    <w:lvl w:ilvl="6" w:tplc="F56E419C">
      <w:start w:val="1"/>
      <w:numFmt w:val="decimal"/>
      <w:lvlText w:val="%7."/>
      <w:lvlJc w:val="left"/>
      <w:pPr>
        <w:ind w:left="5040" w:hanging="360"/>
      </w:pPr>
    </w:lvl>
    <w:lvl w:ilvl="7" w:tplc="7076E0B6">
      <w:start w:val="1"/>
      <w:numFmt w:val="lowerLetter"/>
      <w:lvlText w:val="%8."/>
      <w:lvlJc w:val="left"/>
      <w:pPr>
        <w:ind w:left="5760" w:hanging="360"/>
      </w:pPr>
    </w:lvl>
    <w:lvl w:ilvl="8" w:tplc="32B48134">
      <w:start w:val="1"/>
      <w:numFmt w:val="lowerRoman"/>
      <w:lvlText w:val="%9."/>
      <w:lvlJc w:val="right"/>
      <w:pPr>
        <w:ind w:left="6480" w:hanging="180"/>
      </w:pPr>
    </w:lvl>
  </w:abstractNum>
  <w:abstractNum w:abstractNumId="5" w15:restartNumberingAfterBreak="0">
    <w:nsid w:val="1FBC19AF"/>
    <w:multiLevelType w:val="hybridMultilevel"/>
    <w:tmpl w:val="F4F62AE6"/>
    <w:lvl w:ilvl="0" w:tplc="36FCDED0">
      <w:start w:val="1"/>
      <w:numFmt w:val="bullet"/>
      <w:lvlText w:val=""/>
      <w:lvlJc w:val="left"/>
      <w:pPr>
        <w:ind w:left="720" w:hanging="360"/>
      </w:pPr>
      <w:rPr>
        <w:rFonts w:ascii="Symbol" w:hAnsi="Symbol" w:hint="default"/>
      </w:rPr>
    </w:lvl>
    <w:lvl w:ilvl="1" w:tplc="882216D8">
      <w:start w:val="1"/>
      <w:numFmt w:val="bullet"/>
      <w:lvlText w:val="o"/>
      <w:lvlJc w:val="left"/>
      <w:pPr>
        <w:ind w:left="1440" w:hanging="360"/>
      </w:pPr>
      <w:rPr>
        <w:rFonts w:ascii="Courier New" w:hAnsi="Courier New" w:hint="default"/>
      </w:rPr>
    </w:lvl>
    <w:lvl w:ilvl="2" w:tplc="D9BECB96">
      <w:start w:val="1"/>
      <w:numFmt w:val="bullet"/>
      <w:lvlText w:val=""/>
      <w:lvlJc w:val="left"/>
      <w:pPr>
        <w:ind w:left="2160" w:hanging="360"/>
      </w:pPr>
      <w:rPr>
        <w:rFonts w:ascii="Wingdings" w:hAnsi="Wingdings" w:hint="default"/>
      </w:rPr>
    </w:lvl>
    <w:lvl w:ilvl="3" w:tplc="C122BFD0">
      <w:start w:val="1"/>
      <w:numFmt w:val="bullet"/>
      <w:lvlText w:val=""/>
      <w:lvlJc w:val="left"/>
      <w:pPr>
        <w:ind w:left="2880" w:hanging="360"/>
      </w:pPr>
      <w:rPr>
        <w:rFonts w:ascii="Symbol" w:hAnsi="Symbol" w:hint="default"/>
      </w:rPr>
    </w:lvl>
    <w:lvl w:ilvl="4" w:tplc="1188FB10">
      <w:start w:val="1"/>
      <w:numFmt w:val="bullet"/>
      <w:lvlText w:val="o"/>
      <w:lvlJc w:val="left"/>
      <w:pPr>
        <w:ind w:left="3600" w:hanging="360"/>
      </w:pPr>
      <w:rPr>
        <w:rFonts w:ascii="Courier New" w:hAnsi="Courier New" w:hint="default"/>
      </w:rPr>
    </w:lvl>
    <w:lvl w:ilvl="5" w:tplc="432C7DDC">
      <w:start w:val="1"/>
      <w:numFmt w:val="bullet"/>
      <w:lvlText w:val=""/>
      <w:lvlJc w:val="left"/>
      <w:pPr>
        <w:ind w:left="4320" w:hanging="360"/>
      </w:pPr>
      <w:rPr>
        <w:rFonts w:ascii="Wingdings" w:hAnsi="Wingdings" w:hint="default"/>
      </w:rPr>
    </w:lvl>
    <w:lvl w:ilvl="6" w:tplc="0024AF62">
      <w:start w:val="1"/>
      <w:numFmt w:val="bullet"/>
      <w:lvlText w:val=""/>
      <w:lvlJc w:val="left"/>
      <w:pPr>
        <w:ind w:left="5040" w:hanging="360"/>
      </w:pPr>
      <w:rPr>
        <w:rFonts w:ascii="Symbol" w:hAnsi="Symbol" w:hint="default"/>
      </w:rPr>
    </w:lvl>
    <w:lvl w:ilvl="7" w:tplc="C6AA1F22">
      <w:start w:val="1"/>
      <w:numFmt w:val="bullet"/>
      <w:lvlText w:val="o"/>
      <w:lvlJc w:val="left"/>
      <w:pPr>
        <w:ind w:left="5760" w:hanging="360"/>
      </w:pPr>
      <w:rPr>
        <w:rFonts w:ascii="Courier New" w:hAnsi="Courier New" w:hint="default"/>
      </w:rPr>
    </w:lvl>
    <w:lvl w:ilvl="8" w:tplc="D878075A">
      <w:start w:val="1"/>
      <w:numFmt w:val="bullet"/>
      <w:lvlText w:val=""/>
      <w:lvlJc w:val="left"/>
      <w:pPr>
        <w:ind w:left="6480" w:hanging="360"/>
      </w:pPr>
      <w:rPr>
        <w:rFonts w:ascii="Wingdings" w:hAnsi="Wingdings" w:hint="default"/>
      </w:rPr>
    </w:lvl>
  </w:abstractNum>
  <w:abstractNum w:abstractNumId="6" w15:restartNumberingAfterBreak="0">
    <w:nsid w:val="2C8B4721"/>
    <w:multiLevelType w:val="hybridMultilevel"/>
    <w:tmpl w:val="F5D0B6CC"/>
    <w:lvl w:ilvl="0" w:tplc="57B0960E">
      <w:start w:val="1"/>
      <w:numFmt w:val="bullet"/>
      <w:lvlText w:val=""/>
      <w:lvlJc w:val="left"/>
      <w:pPr>
        <w:ind w:left="720" w:hanging="360"/>
      </w:pPr>
      <w:rPr>
        <w:rFonts w:ascii="Symbol" w:hAnsi="Symbol" w:hint="default"/>
      </w:rPr>
    </w:lvl>
    <w:lvl w:ilvl="1" w:tplc="2DBAB74A">
      <w:start w:val="1"/>
      <w:numFmt w:val="bullet"/>
      <w:lvlText w:val="o"/>
      <w:lvlJc w:val="left"/>
      <w:pPr>
        <w:ind w:left="1440" w:hanging="360"/>
      </w:pPr>
      <w:rPr>
        <w:rFonts w:ascii="Courier New" w:hAnsi="Courier New" w:hint="default"/>
      </w:rPr>
    </w:lvl>
    <w:lvl w:ilvl="2" w:tplc="431E5FBA">
      <w:start w:val="1"/>
      <w:numFmt w:val="bullet"/>
      <w:lvlText w:val=""/>
      <w:lvlJc w:val="left"/>
      <w:pPr>
        <w:ind w:left="2160" w:hanging="360"/>
      </w:pPr>
      <w:rPr>
        <w:rFonts w:ascii="Wingdings" w:hAnsi="Wingdings" w:hint="default"/>
      </w:rPr>
    </w:lvl>
    <w:lvl w:ilvl="3" w:tplc="D75A5AA4">
      <w:start w:val="1"/>
      <w:numFmt w:val="bullet"/>
      <w:lvlText w:val=""/>
      <w:lvlJc w:val="left"/>
      <w:pPr>
        <w:ind w:left="2880" w:hanging="360"/>
      </w:pPr>
      <w:rPr>
        <w:rFonts w:ascii="Symbol" w:hAnsi="Symbol" w:hint="default"/>
      </w:rPr>
    </w:lvl>
    <w:lvl w:ilvl="4" w:tplc="CB006518">
      <w:start w:val="1"/>
      <w:numFmt w:val="bullet"/>
      <w:lvlText w:val="o"/>
      <w:lvlJc w:val="left"/>
      <w:pPr>
        <w:ind w:left="3600" w:hanging="360"/>
      </w:pPr>
      <w:rPr>
        <w:rFonts w:ascii="Courier New" w:hAnsi="Courier New" w:hint="default"/>
      </w:rPr>
    </w:lvl>
    <w:lvl w:ilvl="5" w:tplc="D15E99F2">
      <w:start w:val="1"/>
      <w:numFmt w:val="bullet"/>
      <w:lvlText w:val=""/>
      <w:lvlJc w:val="left"/>
      <w:pPr>
        <w:ind w:left="4320" w:hanging="360"/>
      </w:pPr>
      <w:rPr>
        <w:rFonts w:ascii="Wingdings" w:hAnsi="Wingdings" w:hint="default"/>
      </w:rPr>
    </w:lvl>
    <w:lvl w:ilvl="6" w:tplc="6ECACCB8">
      <w:start w:val="1"/>
      <w:numFmt w:val="bullet"/>
      <w:lvlText w:val=""/>
      <w:lvlJc w:val="left"/>
      <w:pPr>
        <w:ind w:left="5040" w:hanging="360"/>
      </w:pPr>
      <w:rPr>
        <w:rFonts w:ascii="Symbol" w:hAnsi="Symbol" w:hint="default"/>
      </w:rPr>
    </w:lvl>
    <w:lvl w:ilvl="7" w:tplc="38185C10">
      <w:start w:val="1"/>
      <w:numFmt w:val="bullet"/>
      <w:lvlText w:val="o"/>
      <w:lvlJc w:val="left"/>
      <w:pPr>
        <w:ind w:left="5760" w:hanging="360"/>
      </w:pPr>
      <w:rPr>
        <w:rFonts w:ascii="Courier New" w:hAnsi="Courier New" w:hint="default"/>
      </w:rPr>
    </w:lvl>
    <w:lvl w:ilvl="8" w:tplc="4CB8C748">
      <w:start w:val="1"/>
      <w:numFmt w:val="bullet"/>
      <w:lvlText w:val=""/>
      <w:lvlJc w:val="left"/>
      <w:pPr>
        <w:ind w:left="6480" w:hanging="360"/>
      </w:pPr>
      <w:rPr>
        <w:rFonts w:ascii="Wingdings" w:hAnsi="Wingdings" w:hint="default"/>
      </w:rPr>
    </w:lvl>
  </w:abstractNum>
  <w:abstractNum w:abstractNumId="7" w15:restartNumberingAfterBreak="0">
    <w:nsid w:val="54474CF7"/>
    <w:multiLevelType w:val="hybridMultilevel"/>
    <w:tmpl w:val="C1BA9580"/>
    <w:lvl w:ilvl="0" w:tplc="FC6A28E4">
      <w:start w:val="1"/>
      <w:numFmt w:val="bullet"/>
      <w:lvlText w:val=""/>
      <w:lvlJc w:val="left"/>
      <w:pPr>
        <w:ind w:left="720" w:hanging="360"/>
      </w:pPr>
      <w:rPr>
        <w:rFonts w:ascii="Wingdings" w:hAnsi="Wingdings" w:hint="default"/>
      </w:rPr>
    </w:lvl>
    <w:lvl w:ilvl="1" w:tplc="0B7AAFE4">
      <w:start w:val="1"/>
      <w:numFmt w:val="bullet"/>
      <w:lvlText w:val="o"/>
      <w:lvlJc w:val="left"/>
      <w:pPr>
        <w:ind w:left="1440" w:hanging="360"/>
      </w:pPr>
      <w:rPr>
        <w:rFonts w:ascii="Courier New" w:hAnsi="Courier New" w:hint="default"/>
      </w:rPr>
    </w:lvl>
    <w:lvl w:ilvl="2" w:tplc="70AE462A">
      <w:start w:val="1"/>
      <w:numFmt w:val="bullet"/>
      <w:lvlText w:val=""/>
      <w:lvlJc w:val="left"/>
      <w:pPr>
        <w:ind w:left="2160" w:hanging="360"/>
      </w:pPr>
      <w:rPr>
        <w:rFonts w:ascii="Wingdings" w:hAnsi="Wingdings" w:hint="default"/>
      </w:rPr>
    </w:lvl>
    <w:lvl w:ilvl="3" w:tplc="112E5056">
      <w:start w:val="1"/>
      <w:numFmt w:val="bullet"/>
      <w:lvlText w:val=""/>
      <w:lvlJc w:val="left"/>
      <w:pPr>
        <w:ind w:left="2880" w:hanging="360"/>
      </w:pPr>
      <w:rPr>
        <w:rFonts w:ascii="Symbol" w:hAnsi="Symbol" w:hint="default"/>
      </w:rPr>
    </w:lvl>
    <w:lvl w:ilvl="4" w:tplc="56661668">
      <w:start w:val="1"/>
      <w:numFmt w:val="bullet"/>
      <w:lvlText w:val="o"/>
      <w:lvlJc w:val="left"/>
      <w:pPr>
        <w:ind w:left="3600" w:hanging="360"/>
      </w:pPr>
      <w:rPr>
        <w:rFonts w:ascii="Courier New" w:hAnsi="Courier New" w:hint="default"/>
      </w:rPr>
    </w:lvl>
    <w:lvl w:ilvl="5" w:tplc="F350DCC4">
      <w:start w:val="1"/>
      <w:numFmt w:val="bullet"/>
      <w:lvlText w:val=""/>
      <w:lvlJc w:val="left"/>
      <w:pPr>
        <w:ind w:left="4320" w:hanging="360"/>
      </w:pPr>
      <w:rPr>
        <w:rFonts w:ascii="Wingdings" w:hAnsi="Wingdings" w:hint="default"/>
      </w:rPr>
    </w:lvl>
    <w:lvl w:ilvl="6" w:tplc="C988024A">
      <w:start w:val="1"/>
      <w:numFmt w:val="bullet"/>
      <w:lvlText w:val=""/>
      <w:lvlJc w:val="left"/>
      <w:pPr>
        <w:ind w:left="5040" w:hanging="360"/>
      </w:pPr>
      <w:rPr>
        <w:rFonts w:ascii="Symbol" w:hAnsi="Symbol" w:hint="default"/>
      </w:rPr>
    </w:lvl>
    <w:lvl w:ilvl="7" w:tplc="2D1873A8">
      <w:start w:val="1"/>
      <w:numFmt w:val="bullet"/>
      <w:lvlText w:val="o"/>
      <w:lvlJc w:val="left"/>
      <w:pPr>
        <w:ind w:left="5760" w:hanging="360"/>
      </w:pPr>
      <w:rPr>
        <w:rFonts w:ascii="Courier New" w:hAnsi="Courier New" w:hint="default"/>
      </w:rPr>
    </w:lvl>
    <w:lvl w:ilvl="8" w:tplc="5A362CF4">
      <w:start w:val="1"/>
      <w:numFmt w:val="bullet"/>
      <w:lvlText w:val=""/>
      <w:lvlJc w:val="left"/>
      <w:pPr>
        <w:ind w:left="6480" w:hanging="360"/>
      </w:pPr>
      <w:rPr>
        <w:rFonts w:ascii="Wingdings" w:hAnsi="Wingdings" w:hint="default"/>
      </w:rPr>
    </w:lvl>
  </w:abstractNum>
  <w:abstractNum w:abstractNumId="8" w15:restartNumberingAfterBreak="0">
    <w:nsid w:val="685BD203"/>
    <w:multiLevelType w:val="hybridMultilevel"/>
    <w:tmpl w:val="9E3C0B28"/>
    <w:lvl w:ilvl="0" w:tplc="6D605CEC">
      <w:start w:val="1"/>
      <w:numFmt w:val="upperRoman"/>
      <w:lvlText w:val="(%1)"/>
      <w:lvlJc w:val="right"/>
      <w:pPr>
        <w:ind w:left="720" w:hanging="360"/>
      </w:pPr>
    </w:lvl>
    <w:lvl w:ilvl="1" w:tplc="219E1E62">
      <w:start w:val="1"/>
      <w:numFmt w:val="lowerLetter"/>
      <w:lvlText w:val="%2."/>
      <w:lvlJc w:val="left"/>
      <w:pPr>
        <w:ind w:left="1440" w:hanging="360"/>
      </w:pPr>
    </w:lvl>
    <w:lvl w:ilvl="2" w:tplc="E9C4C682">
      <w:start w:val="1"/>
      <w:numFmt w:val="lowerRoman"/>
      <w:lvlText w:val="%3."/>
      <w:lvlJc w:val="right"/>
      <w:pPr>
        <w:ind w:left="2160" w:hanging="180"/>
      </w:pPr>
    </w:lvl>
    <w:lvl w:ilvl="3" w:tplc="E8802010">
      <w:start w:val="1"/>
      <w:numFmt w:val="decimal"/>
      <w:lvlText w:val="%4."/>
      <w:lvlJc w:val="left"/>
      <w:pPr>
        <w:ind w:left="2880" w:hanging="360"/>
      </w:pPr>
    </w:lvl>
    <w:lvl w:ilvl="4" w:tplc="8FCA9DC2">
      <w:start w:val="1"/>
      <w:numFmt w:val="lowerLetter"/>
      <w:lvlText w:val="%5."/>
      <w:lvlJc w:val="left"/>
      <w:pPr>
        <w:ind w:left="3600" w:hanging="360"/>
      </w:pPr>
    </w:lvl>
    <w:lvl w:ilvl="5" w:tplc="8C287DC0">
      <w:start w:val="1"/>
      <w:numFmt w:val="lowerRoman"/>
      <w:lvlText w:val="%6."/>
      <w:lvlJc w:val="right"/>
      <w:pPr>
        <w:ind w:left="4320" w:hanging="180"/>
      </w:pPr>
    </w:lvl>
    <w:lvl w:ilvl="6" w:tplc="A98846A2">
      <w:start w:val="1"/>
      <w:numFmt w:val="decimal"/>
      <w:lvlText w:val="%7."/>
      <w:lvlJc w:val="left"/>
      <w:pPr>
        <w:ind w:left="5040" w:hanging="360"/>
      </w:pPr>
    </w:lvl>
    <w:lvl w:ilvl="7" w:tplc="223A7AC6">
      <w:start w:val="1"/>
      <w:numFmt w:val="lowerLetter"/>
      <w:lvlText w:val="%8."/>
      <w:lvlJc w:val="left"/>
      <w:pPr>
        <w:ind w:left="5760" w:hanging="360"/>
      </w:pPr>
    </w:lvl>
    <w:lvl w:ilvl="8" w:tplc="65E8FFF2">
      <w:start w:val="1"/>
      <w:numFmt w:val="lowerRoman"/>
      <w:lvlText w:val="%9."/>
      <w:lvlJc w:val="right"/>
      <w:pPr>
        <w:ind w:left="6480" w:hanging="180"/>
      </w:pPr>
    </w:lvl>
  </w:abstractNum>
  <w:num w:numId="1" w16cid:durableId="1661301793">
    <w:abstractNumId w:val="5"/>
  </w:num>
  <w:num w:numId="2" w16cid:durableId="207449115">
    <w:abstractNumId w:val="4"/>
  </w:num>
  <w:num w:numId="3" w16cid:durableId="2053456479">
    <w:abstractNumId w:val="6"/>
  </w:num>
  <w:num w:numId="4" w16cid:durableId="1386104607">
    <w:abstractNumId w:val="8"/>
  </w:num>
  <w:num w:numId="5" w16cid:durableId="1684357870">
    <w:abstractNumId w:val="2"/>
  </w:num>
  <w:num w:numId="6" w16cid:durableId="1387873962">
    <w:abstractNumId w:val="0"/>
  </w:num>
  <w:num w:numId="7" w16cid:durableId="1072047581">
    <w:abstractNumId w:val="1"/>
  </w:num>
  <w:num w:numId="8" w16cid:durableId="407729613">
    <w:abstractNumId w:val="7"/>
  </w:num>
  <w:num w:numId="9" w16cid:durableId="1259405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22053"/>
    <w:rsid w:val="000418C8"/>
    <w:rsid w:val="00046D1C"/>
    <w:rsid w:val="000E59F0"/>
    <w:rsid w:val="001358EB"/>
    <w:rsid w:val="00183F06"/>
    <w:rsid w:val="001E7327"/>
    <w:rsid w:val="00202A17"/>
    <w:rsid w:val="0023586F"/>
    <w:rsid w:val="002543C1"/>
    <w:rsid w:val="0026480C"/>
    <w:rsid w:val="002757D9"/>
    <w:rsid w:val="002B6778"/>
    <w:rsid w:val="002E601B"/>
    <w:rsid w:val="003C6CA7"/>
    <w:rsid w:val="003D64EF"/>
    <w:rsid w:val="00454A6E"/>
    <w:rsid w:val="00485628"/>
    <w:rsid w:val="004E340F"/>
    <w:rsid w:val="005061BF"/>
    <w:rsid w:val="005A358A"/>
    <w:rsid w:val="005A7424"/>
    <w:rsid w:val="006B49A2"/>
    <w:rsid w:val="00713CBD"/>
    <w:rsid w:val="007560EA"/>
    <w:rsid w:val="008017F8"/>
    <w:rsid w:val="00814311"/>
    <w:rsid w:val="00865C91"/>
    <w:rsid w:val="00965DCA"/>
    <w:rsid w:val="009B5409"/>
    <w:rsid w:val="009E5228"/>
    <w:rsid w:val="00A32F93"/>
    <w:rsid w:val="00A82C6D"/>
    <w:rsid w:val="00AA1D97"/>
    <w:rsid w:val="00AC4E5E"/>
    <w:rsid w:val="00AD43C1"/>
    <w:rsid w:val="00AE1879"/>
    <w:rsid w:val="00AF21D9"/>
    <w:rsid w:val="00B12ABD"/>
    <w:rsid w:val="00B536BA"/>
    <w:rsid w:val="00BC7B64"/>
    <w:rsid w:val="00C04679"/>
    <w:rsid w:val="00D123F8"/>
    <w:rsid w:val="00D33464"/>
    <w:rsid w:val="00D95FE5"/>
    <w:rsid w:val="00E113E2"/>
    <w:rsid w:val="00F758D2"/>
    <w:rsid w:val="00FF0DA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6F9666C1-2D6C-4E4F-B31A-E2B759D5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paragraph" w:styleId="Ttulo3">
    <w:name w:val="heading 3"/>
    <w:basedOn w:val="Normal"/>
    <w:next w:val="Normal"/>
    <w:link w:val="Ttulo3Car"/>
    <w:uiPriority w:val="9"/>
    <w:unhideWhenUsed/>
    <w:qFormat/>
    <w:rsid w:val="00965DCA"/>
    <w:pPr>
      <w:widowControl w:val="0"/>
      <w:pBdr>
        <w:top w:val="nil"/>
        <w:left w:val="nil"/>
        <w:bottom w:val="nil"/>
        <w:right w:val="nil"/>
        <w:between w:val="nil"/>
      </w:pBdr>
      <w:suppressAutoHyphens w:val="0"/>
      <w:spacing w:before="240" w:after="240" w:line="240" w:lineRule="auto"/>
      <w:outlineLvl w:val="2"/>
    </w:pPr>
    <w:rPr>
      <w:rFonts w:ascii="Arial" w:eastAsia="Arial" w:hAnsi="Arial" w:cs="Arial"/>
      <w:b/>
      <w:bCs/>
      <w:sz w:val="28"/>
      <w:szCs w:val="28"/>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character" w:customStyle="1" w:styleId="Ttulo3Car">
    <w:name w:val="Título 3 Car"/>
    <w:basedOn w:val="Fuentedeprrafopredeter"/>
    <w:link w:val="Ttulo3"/>
    <w:uiPriority w:val="9"/>
    <w:rsid w:val="00965DCA"/>
    <w:rPr>
      <w:rFonts w:ascii="Arial" w:eastAsia="Arial" w:hAnsi="Arial" w:cs="Arial"/>
      <w:b/>
      <w:bCs/>
      <w:sz w:val="28"/>
      <w:szCs w:val="28"/>
      <w:lang w:eastAsia="es-CO"/>
    </w:rPr>
  </w:style>
  <w:style w:type="paragraph" w:styleId="Prrafodelista">
    <w:name w:val="List Paragraph"/>
    <w:basedOn w:val="Normal"/>
    <w:uiPriority w:val="34"/>
    <w:qFormat/>
    <w:rsid w:val="00965DCA"/>
    <w:pPr>
      <w:widowControl w:val="0"/>
      <w:suppressAutoHyphens w:val="0"/>
      <w:spacing w:after="0" w:line="240" w:lineRule="auto"/>
      <w:ind w:left="720"/>
      <w:contextualSpacing/>
    </w:pPr>
    <w:rPr>
      <w:rFonts w:ascii="Arial" w:eastAsia="Arial" w:hAnsi="Arial" w:cs="Arial"/>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56372c-a4f6-4df5-8765-d8e42e1e7de4">
      <Terms xmlns="http://schemas.microsoft.com/office/infopath/2007/PartnerControls"/>
    </lcf76f155ced4ddcb4097134ff3c332f>
    <TaxCatchAll xmlns="361900c6-53d7-419d-a99d-199bc166bbd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D3BE43C333AE4408F810393F1AC2B16" ma:contentTypeVersion="12" ma:contentTypeDescription="Crear nuevo documento." ma:contentTypeScope="" ma:versionID="382221f4d0794a8a4ffc48fe241d4103">
  <xsd:schema xmlns:xsd="http://www.w3.org/2001/XMLSchema" xmlns:xs="http://www.w3.org/2001/XMLSchema" xmlns:p="http://schemas.microsoft.com/office/2006/metadata/properties" xmlns:ns2="db56372c-a4f6-4df5-8765-d8e42e1e7de4" xmlns:ns3="361900c6-53d7-419d-a99d-199bc166bbd3" targetNamespace="http://schemas.microsoft.com/office/2006/metadata/properties" ma:root="true" ma:fieldsID="5de397427636072340a0a2aeef772873" ns2:_="" ns3:_="">
    <xsd:import namespace="db56372c-a4f6-4df5-8765-d8e42e1e7de4"/>
    <xsd:import namespace="361900c6-53d7-419d-a99d-199bc166bb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56372c-a4f6-4df5-8765-d8e42e1e7d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1900c6-53d7-419d-a99d-199bc166bbd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1866d50-ca44-4076-a333-eaf756128570}" ma:internalName="TaxCatchAll" ma:showField="CatchAllData" ma:web="361900c6-53d7-419d-a99d-199bc166bb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1B2FD6-4BD8-47C3-AC01-3BA2F568B65A}">
  <ds:schemaRefs>
    <ds:schemaRef ds:uri="http://schemas.microsoft.com/office/2006/metadata/properties"/>
    <ds:schemaRef ds:uri="http://schemas.microsoft.com/office/infopath/2007/PartnerControls"/>
    <ds:schemaRef ds:uri="db56372c-a4f6-4df5-8765-d8e42e1e7de4"/>
    <ds:schemaRef ds:uri="361900c6-53d7-419d-a99d-199bc166bbd3"/>
  </ds:schemaRefs>
</ds:datastoreItem>
</file>

<file path=customXml/itemProps2.xml><?xml version="1.0" encoding="utf-8"?>
<ds:datastoreItem xmlns:ds="http://schemas.openxmlformats.org/officeDocument/2006/customXml" ds:itemID="{E9261D05-1BBE-4347-B7F0-9C896FA00889}">
  <ds:schemaRefs>
    <ds:schemaRef ds:uri="http://schemas.microsoft.com/sharepoint/v3/contenttype/forms"/>
  </ds:schemaRefs>
</ds:datastoreItem>
</file>

<file path=customXml/itemProps3.xml><?xml version="1.0" encoding="utf-8"?>
<ds:datastoreItem xmlns:ds="http://schemas.openxmlformats.org/officeDocument/2006/customXml" ds:itemID="{03F6BC2B-1113-4292-835E-79ACD4D71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56372c-a4f6-4df5-8765-d8e42e1e7de4"/>
    <ds:schemaRef ds:uri="361900c6-53d7-419d-a99d-199bc166bb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29</Pages>
  <Words>8024</Words>
  <Characters>44132</Characters>
  <Application>Microsoft Office Word</Application>
  <DocSecurity>0</DocSecurity>
  <Lines>367</Lines>
  <Paragraphs>104</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52052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Mateo Ruiz</cp:lastModifiedBy>
  <cp:revision>13</cp:revision>
  <dcterms:created xsi:type="dcterms:W3CDTF">2023-05-19T18:23:00Z</dcterms:created>
  <dcterms:modified xsi:type="dcterms:W3CDTF">2026-07-01T16:41:00Z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0x010100DD3BE43C333AE4408F810393F1AC2B16</vt:lpwstr>
  </property>
</Properties>
</file>